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4A17EC">
        <w:rPr>
          <w:rFonts w:ascii="Times New Roman" w:hAnsi="Times New Roman" w:cs="Times New Roman"/>
          <w:b/>
          <w:color w:val="000000"/>
          <w:sz w:val="28"/>
          <w:szCs w:val="28"/>
        </w:rPr>
        <w:t>12</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Nội, 2018</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2B6619" w:rsidRDefault="009B379A">
      <w:pPr>
        <w:pStyle w:val="TOC1"/>
        <w:tabs>
          <w:tab w:val="left" w:pos="440"/>
          <w:tab w:val="right" w:leader="dot" w:pos="8630"/>
        </w:tabs>
        <w:rPr>
          <w:noProof/>
        </w:rPr>
      </w:pPr>
      <w:r w:rsidRPr="00EA7AD7">
        <w:rPr>
          <w:rFonts w:ascii="Times New Roman" w:hAnsi="Times New Roman" w:cs="Times New Roman"/>
          <w:b/>
          <w:sz w:val="32"/>
          <w:szCs w:val="26"/>
        </w:rPr>
        <w:fldChar w:fldCharType="begin"/>
      </w:r>
      <w:r w:rsidR="00C45DE0" w:rsidRPr="00EA7AD7">
        <w:rPr>
          <w:rFonts w:ascii="Times New Roman" w:hAnsi="Times New Roman" w:cs="Times New Roman"/>
          <w:b/>
          <w:sz w:val="32"/>
          <w:szCs w:val="26"/>
        </w:rPr>
        <w:instrText xml:space="preserve"> TOC \o "1-3" \h \z \u </w:instrText>
      </w:r>
      <w:r w:rsidRPr="00EA7AD7">
        <w:rPr>
          <w:rFonts w:ascii="Times New Roman" w:hAnsi="Times New Roman" w:cs="Times New Roman"/>
          <w:b/>
          <w:sz w:val="32"/>
          <w:szCs w:val="26"/>
        </w:rPr>
        <w:fldChar w:fldCharType="separate"/>
      </w:r>
      <w:hyperlink w:anchor="_Toc535681051" w:history="1">
        <w:r w:rsidR="002B6619" w:rsidRPr="00170E8A">
          <w:rPr>
            <w:rStyle w:val="Hyperlink"/>
            <w:rFonts w:ascii="Times New Roman" w:hAnsi="Times New Roman" w:cs="Times New Roman"/>
            <w:b/>
            <w:noProof/>
          </w:rPr>
          <w:t>1.</w:t>
        </w:r>
        <w:r w:rsidR="002B6619">
          <w:rPr>
            <w:noProof/>
          </w:rPr>
          <w:tab/>
        </w:r>
        <w:r w:rsidR="002B6619" w:rsidRPr="00170E8A">
          <w:rPr>
            <w:rStyle w:val="Hyperlink"/>
            <w:rFonts w:ascii="Times New Roman" w:hAnsi="Times New Roman" w:cs="Times New Roman"/>
            <w:b/>
            <w:noProof/>
          </w:rPr>
          <w:t>Tình hình chung</w:t>
        </w:r>
        <w:r w:rsidR="002B6619">
          <w:rPr>
            <w:noProof/>
            <w:webHidden/>
          </w:rPr>
          <w:tab/>
        </w:r>
        <w:r w:rsidR="002B6619">
          <w:rPr>
            <w:noProof/>
            <w:webHidden/>
          </w:rPr>
          <w:fldChar w:fldCharType="begin"/>
        </w:r>
        <w:r w:rsidR="002B6619">
          <w:rPr>
            <w:noProof/>
            <w:webHidden/>
          </w:rPr>
          <w:instrText xml:space="preserve"> PAGEREF _Toc535681051 \h </w:instrText>
        </w:r>
        <w:r w:rsidR="002B6619">
          <w:rPr>
            <w:noProof/>
            <w:webHidden/>
          </w:rPr>
        </w:r>
        <w:r w:rsidR="002B6619">
          <w:rPr>
            <w:noProof/>
            <w:webHidden/>
          </w:rPr>
          <w:fldChar w:fldCharType="separate"/>
        </w:r>
        <w:r w:rsidR="002B6619">
          <w:rPr>
            <w:noProof/>
            <w:webHidden/>
          </w:rPr>
          <w:t>3</w:t>
        </w:r>
        <w:r w:rsidR="002B6619">
          <w:rPr>
            <w:noProof/>
            <w:webHidden/>
          </w:rPr>
          <w:fldChar w:fldCharType="end"/>
        </w:r>
      </w:hyperlink>
    </w:p>
    <w:p w:rsidR="002B6619" w:rsidRDefault="002B6619">
      <w:pPr>
        <w:pStyle w:val="TOC2"/>
        <w:tabs>
          <w:tab w:val="left" w:pos="880"/>
          <w:tab w:val="right" w:leader="dot" w:pos="8630"/>
        </w:tabs>
        <w:rPr>
          <w:noProof/>
        </w:rPr>
      </w:pPr>
      <w:hyperlink w:anchor="_Toc535681052" w:history="1">
        <w:r w:rsidRPr="00170E8A">
          <w:rPr>
            <w:rStyle w:val="Hyperlink"/>
            <w:rFonts w:ascii="Times New Roman" w:hAnsi="Times New Roman" w:cs="Times New Roman"/>
            <w:b/>
            <w:i/>
            <w:iCs/>
            <w:noProof/>
          </w:rPr>
          <w:t>1.1.</w:t>
        </w:r>
        <w:r>
          <w:rPr>
            <w:noProof/>
          </w:rPr>
          <w:tab/>
        </w:r>
        <w:r w:rsidRPr="00170E8A">
          <w:rPr>
            <w:rStyle w:val="Hyperlink"/>
            <w:rFonts w:ascii="Times New Roman" w:hAnsi="Times New Roman" w:cs="Times New Roman"/>
            <w:b/>
            <w:i/>
            <w:iCs/>
            <w:noProof/>
          </w:rPr>
          <w:t>Hoạt động logistics:</w:t>
        </w:r>
        <w:r>
          <w:rPr>
            <w:noProof/>
            <w:webHidden/>
          </w:rPr>
          <w:tab/>
        </w:r>
        <w:r>
          <w:rPr>
            <w:noProof/>
            <w:webHidden/>
          </w:rPr>
          <w:fldChar w:fldCharType="begin"/>
        </w:r>
        <w:r>
          <w:rPr>
            <w:noProof/>
            <w:webHidden/>
          </w:rPr>
          <w:instrText xml:space="preserve"> PAGEREF _Toc535681052 \h </w:instrText>
        </w:r>
        <w:r>
          <w:rPr>
            <w:noProof/>
            <w:webHidden/>
          </w:rPr>
        </w:r>
        <w:r>
          <w:rPr>
            <w:noProof/>
            <w:webHidden/>
          </w:rPr>
          <w:fldChar w:fldCharType="separate"/>
        </w:r>
        <w:r>
          <w:rPr>
            <w:noProof/>
            <w:webHidden/>
          </w:rPr>
          <w:t>3</w:t>
        </w:r>
        <w:r>
          <w:rPr>
            <w:noProof/>
            <w:webHidden/>
          </w:rPr>
          <w:fldChar w:fldCharType="end"/>
        </w:r>
      </w:hyperlink>
    </w:p>
    <w:p w:rsidR="002B6619" w:rsidRDefault="002B6619">
      <w:pPr>
        <w:pStyle w:val="TOC2"/>
        <w:tabs>
          <w:tab w:val="left" w:pos="880"/>
          <w:tab w:val="right" w:leader="dot" w:pos="8630"/>
        </w:tabs>
        <w:rPr>
          <w:noProof/>
        </w:rPr>
      </w:pPr>
      <w:hyperlink w:anchor="_Toc535681053" w:history="1">
        <w:r w:rsidRPr="00170E8A">
          <w:rPr>
            <w:rStyle w:val="Hyperlink"/>
            <w:rFonts w:ascii="Times New Roman" w:hAnsi="Times New Roman" w:cs="Times New Roman"/>
            <w:b/>
            <w:i/>
            <w:iCs/>
            <w:noProof/>
          </w:rPr>
          <w:t>1.2.</w:t>
        </w:r>
        <w:r>
          <w:rPr>
            <w:noProof/>
          </w:rPr>
          <w:tab/>
        </w:r>
        <w:r w:rsidRPr="00170E8A">
          <w:rPr>
            <w:rStyle w:val="Hyperlink"/>
            <w:rFonts w:ascii="Times New Roman" w:hAnsi="Times New Roman" w:cs="Times New Roman"/>
            <w:b/>
            <w:i/>
            <w:iCs/>
            <w:noProof/>
          </w:rPr>
          <w:t>Tình hình kinh tế, sản xuất, thương mại cố liên quan đến hoạt động logistics</w:t>
        </w:r>
        <w:r>
          <w:rPr>
            <w:noProof/>
            <w:webHidden/>
          </w:rPr>
          <w:tab/>
        </w:r>
        <w:r>
          <w:rPr>
            <w:noProof/>
            <w:webHidden/>
          </w:rPr>
          <w:fldChar w:fldCharType="begin"/>
        </w:r>
        <w:r>
          <w:rPr>
            <w:noProof/>
            <w:webHidden/>
          </w:rPr>
          <w:instrText xml:space="preserve"> PAGEREF _Toc535681053 \h </w:instrText>
        </w:r>
        <w:r>
          <w:rPr>
            <w:noProof/>
            <w:webHidden/>
          </w:rPr>
        </w:r>
        <w:r>
          <w:rPr>
            <w:noProof/>
            <w:webHidden/>
          </w:rPr>
          <w:fldChar w:fldCharType="separate"/>
        </w:r>
        <w:r>
          <w:rPr>
            <w:noProof/>
            <w:webHidden/>
          </w:rPr>
          <w:t>3</w:t>
        </w:r>
        <w:r>
          <w:rPr>
            <w:noProof/>
            <w:webHidden/>
          </w:rPr>
          <w:fldChar w:fldCharType="end"/>
        </w:r>
      </w:hyperlink>
    </w:p>
    <w:p w:rsidR="002B6619" w:rsidRDefault="002B6619">
      <w:pPr>
        <w:pStyle w:val="TOC1"/>
        <w:tabs>
          <w:tab w:val="left" w:pos="440"/>
          <w:tab w:val="right" w:leader="dot" w:pos="8630"/>
        </w:tabs>
        <w:rPr>
          <w:noProof/>
        </w:rPr>
      </w:pPr>
      <w:hyperlink w:anchor="_Toc535681054" w:history="1">
        <w:r w:rsidRPr="00170E8A">
          <w:rPr>
            <w:rStyle w:val="Hyperlink"/>
            <w:rFonts w:ascii="Times New Roman" w:hAnsi="Times New Roman" w:cs="Times New Roman"/>
            <w:b/>
            <w:iCs/>
            <w:noProof/>
          </w:rPr>
          <w:t>2.</w:t>
        </w:r>
        <w:r>
          <w:rPr>
            <w:noProof/>
          </w:rPr>
          <w:tab/>
        </w:r>
        <w:r w:rsidRPr="00170E8A">
          <w:rPr>
            <w:rStyle w:val="Hyperlink"/>
            <w:rFonts w:ascii="Times New Roman" w:hAnsi="Times New Roman" w:cs="Times New Roman"/>
            <w:b/>
            <w:noProof/>
          </w:rPr>
          <w:t>Hoạt động vận tải</w:t>
        </w:r>
        <w:r>
          <w:rPr>
            <w:noProof/>
            <w:webHidden/>
          </w:rPr>
          <w:tab/>
        </w:r>
        <w:r>
          <w:rPr>
            <w:noProof/>
            <w:webHidden/>
          </w:rPr>
          <w:fldChar w:fldCharType="begin"/>
        </w:r>
        <w:r>
          <w:rPr>
            <w:noProof/>
            <w:webHidden/>
          </w:rPr>
          <w:instrText xml:space="preserve"> PAGEREF _Toc535681054 \h </w:instrText>
        </w:r>
        <w:r>
          <w:rPr>
            <w:noProof/>
            <w:webHidden/>
          </w:rPr>
        </w:r>
        <w:r>
          <w:rPr>
            <w:noProof/>
            <w:webHidden/>
          </w:rPr>
          <w:fldChar w:fldCharType="separate"/>
        </w:r>
        <w:r>
          <w:rPr>
            <w:noProof/>
            <w:webHidden/>
          </w:rPr>
          <w:t>6</w:t>
        </w:r>
        <w:r>
          <w:rPr>
            <w:noProof/>
            <w:webHidden/>
          </w:rPr>
          <w:fldChar w:fldCharType="end"/>
        </w:r>
      </w:hyperlink>
    </w:p>
    <w:p w:rsidR="002B6619" w:rsidRDefault="002B6619">
      <w:pPr>
        <w:pStyle w:val="TOC2"/>
        <w:tabs>
          <w:tab w:val="left" w:pos="880"/>
          <w:tab w:val="right" w:leader="dot" w:pos="8630"/>
        </w:tabs>
        <w:rPr>
          <w:noProof/>
        </w:rPr>
      </w:pPr>
      <w:hyperlink w:anchor="_Toc535681055" w:history="1">
        <w:r w:rsidRPr="00170E8A">
          <w:rPr>
            <w:rStyle w:val="Hyperlink"/>
            <w:rFonts w:ascii="Times New Roman" w:hAnsi="Times New Roman" w:cs="Times New Roman"/>
            <w:b/>
            <w:i/>
            <w:iCs/>
            <w:noProof/>
          </w:rPr>
          <w:t>2.1.</w:t>
        </w:r>
        <w:r>
          <w:rPr>
            <w:noProof/>
          </w:rPr>
          <w:tab/>
        </w:r>
        <w:r w:rsidRPr="00170E8A">
          <w:rPr>
            <w:rStyle w:val="Hyperlink"/>
            <w:rFonts w:ascii="Times New Roman" w:hAnsi="Times New Roman" w:cs="Times New Roman"/>
            <w:b/>
            <w:i/>
            <w:iCs/>
            <w:noProof/>
          </w:rPr>
          <w:t>Tình hình vận tải nói chung:</w:t>
        </w:r>
        <w:r>
          <w:rPr>
            <w:noProof/>
            <w:webHidden/>
          </w:rPr>
          <w:tab/>
        </w:r>
        <w:r>
          <w:rPr>
            <w:noProof/>
            <w:webHidden/>
          </w:rPr>
          <w:fldChar w:fldCharType="begin"/>
        </w:r>
        <w:r>
          <w:rPr>
            <w:noProof/>
            <w:webHidden/>
          </w:rPr>
          <w:instrText xml:space="preserve"> PAGEREF _Toc535681055 \h </w:instrText>
        </w:r>
        <w:r>
          <w:rPr>
            <w:noProof/>
            <w:webHidden/>
          </w:rPr>
        </w:r>
        <w:r>
          <w:rPr>
            <w:noProof/>
            <w:webHidden/>
          </w:rPr>
          <w:fldChar w:fldCharType="separate"/>
        </w:r>
        <w:r>
          <w:rPr>
            <w:noProof/>
            <w:webHidden/>
          </w:rPr>
          <w:t>6</w:t>
        </w:r>
        <w:r>
          <w:rPr>
            <w:noProof/>
            <w:webHidden/>
          </w:rPr>
          <w:fldChar w:fldCharType="end"/>
        </w:r>
      </w:hyperlink>
    </w:p>
    <w:p w:rsidR="002B6619" w:rsidRDefault="002B6619">
      <w:pPr>
        <w:pStyle w:val="TOC2"/>
        <w:tabs>
          <w:tab w:val="left" w:pos="880"/>
          <w:tab w:val="right" w:leader="dot" w:pos="8630"/>
        </w:tabs>
        <w:rPr>
          <w:noProof/>
        </w:rPr>
      </w:pPr>
      <w:hyperlink w:anchor="_Toc535681056" w:history="1">
        <w:r w:rsidRPr="00170E8A">
          <w:rPr>
            <w:rStyle w:val="Hyperlink"/>
            <w:rFonts w:ascii="Times New Roman" w:hAnsi="Times New Roman" w:cs="Times New Roman"/>
            <w:b/>
            <w:i/>
            <w:iCs/>
            <w:noProof/>
          </w:rPr>
          <w:t>2.2.</w:t>
        </w:r>
        <w:r>
          <w:rPr>
            <w:noProof/>
          </w:rPr>
          <w:tab/>
        </w:r>
        <w:r w:rsidRPr="00170E8A">
          <w:rPr>
            <w:rStyle w:val="Hyperlink"/>
            <w:rFonts w:ascii="Times New Roman" w:hAnsi="Times New Roman" w:cs="Times New Roman"/>
            <w:b/>
            <w:i/>
            <w:iCs/>
            <w:noProof/>
          </w:rPr>
          <w:t>Vận chuyển đường sắt:</w:t>
        </w:r>
        <w:r>
          <w:rPr>
            <w:noProof/>
            <w:webHidden/>
          </w:rPr>
          <w:tab/>
        </w:r>
        <w:r>
          <w:rPr>
            <w:noProof/>
            <w:webHidden/>
          </w:rPr>
          <w:fldChar w:fldCharType="begin"/>
        </w:r>
        <w:r>
          <w:rPr>
            <w:noProof/>
            <w:webHidden/>
          </w:rPr>
          <w:instrText xml:space="preserve"> PAGEREF _Toc535681056 \h </w:instrText>
        </w:r>
        <w:r>
          <w:rPr>
            <w:noProof/>
            <w:webHidden/>
          </w:rPr>
        </w:r>
        <w:r>
          <w:rPr>
            <w:noProof/>
            <w:webHidden/>
          </w:rPr>
          <w:fldChar w:fldCharType="separate"/>
        </w:r>
        <w:r>
          <w:rPr>
            <w:noProof/>
            <w:webHidden/>
          </w:rPr>
          <w:t>7</w:t>
        </w:r>
        <w:r>
          <w:rPr>
            <w:noProof/>
            <w:webHidden/>
          </w:rPr>
          <w:fldChar w:fldCharType="end"/>
        </w:r>
      </w:hyperlink>
    </w:p>
    <w:p w:rsidR="002B6619" w:rsidRDefault="002B6619">
      <w:pPr>
        <w:pStyle w:val="TOC2"/>
        <w:tabs>
          <w:tab w:val="left" w:pos="880"/>
          <w:tab w:val="right" w:leader="dot" w:pos="8630"/>
        </w:tabs>
        <w:rPr>
          <w:noProof/>
        </w:rPr>
      </w:pPr>
      <w:hyperlink w:anchor="_Toc535681057" w:history="1">
        <w:r w:rsidRPr="00170E8A">
          <w:rPr>
            <w:rStyle w:val="Hyperlink"/>
            <w:rFonts w:ascii="Times New Roman" w:hAnsi="Times New Roman" w:cs="Times New Roman"/>
            <w:b/>
            <w:i/>
            <w:iCs/>
            <w:noProof/>
          </w:rPr>
          <w:t>2.3.</w:t>
        </w:r>
        <w:r>
          <w:rPr>
            <w:noProof/>
          </w:rPr>
          <w:tab/>
        </w:r>
        <w:r w:rsidRPr="00170E8A">
          <w:rPr>
            <w:rStyle w:val="Hyperlink"/>
            <w:rFonts w:ascii="Times New Roman" w:hAnsi="Times New Roman" w:cs="Times New Roman"/>
            <w:b/>
            <w:i/>
            <w:iCs/>
            <w:noProof/>
          </w:rPr>
          <w:t>Vận chuyển đường bộ</w:t>
        </w:r>
        <w:r>
          <w:rPr>
            <w:noProof/>
            <w:webHidden/>
          </w:rPr>
          <w:tab/>
        </w:r>
        <w:r>
          <w:rPr>
            <w:noProof/>
            <w:webHidden/>
          </w:rPr>
          <w:fldChar w:fldCharType="begin"/>
        </w:r>
        <w:r>
          <w:rPr>
            <w:noProof/>
            <w:webHidden/>
          </w:rPr>
          <w:instrText xml:space="preserve"> PAGEREF _Toc535681057 \h </w:instrText>
        </w:r>
        <w:r>
          <w:rPr>
            <w:noProof/>
            <w:webHidden/>
          </w:rPr>
        </w:r>
        <w:r>
          <w:rPr>
            <w:noProof/>
            <w:webHidden/>
          </w:rPr>
          <w:fldChar w:fldCharType="separate"/>
        </w:r>
        <w:r>
          <w:rPr>
            <w:noProof/>
            <w:webHidden/>
          </w:rPr>
          <w:t>9</w:t>
        </w:r>
        <w:r>
          <w:rPr>
            <w:noProof/>
            <w:webHidden/>
          </w:rPr>
          <w:fldChar w:fldCharType="end"/>
        </w:r>
      </w:hyperlink>
    </w:p>
    <w:p w:rsidR="002B6619" w:rsidRDefault="002B6619">
      <w:pPr>
        <w:pStyle w:val="TOC2"/>
        <w:tabs>
          <w:tab w:val="left" w:pos="880"/>
          <w:tab w:val="right" w:leader="dot" w:pos="8630"/>
        </w:tabs>
        <w:rPr>
          <w:noProof/>
        </w:rPr>
      </w:pPr>
      <w:hyperlink w:anchor="_Toc535681058" w:history="1">
        <w:r w:rsidRPr="00170E8A">
          <w:rPr>
            <w:rStyle w:val="Hyperlink"/>
            <w:rFonts w:ascii="Times New Roman" w:hAnsi="Times New Roman" w:cs="Times New Roman"/>
            <w:b/>
            <w:i/>
            <w:iCs/>
            <w:noProof/>
          </w:rPr>
          <w:t>2.4.</w:t>
        </w:r>
        <w:r>
          <w:rPr>
            <w:noProof/>
          </w:rPr>
          <w:tab/>
        </w:r>
        <w:r w:rsidRPr="00170E8A">
          <w:rPr>
            <w:rStyle w:val="Hyperlink"/>
            <w:rFonts w:ascii="Times New Roman" w:hAnsi="Times New Roman" w:cs="Times New Roman"/>
            <w:b/>
            <w:i/>
            <w:iCs/>
            <w:noProof/>
          </w:rPr>
          <w:t>Vận chuyển đường thủy (đường biển và đường thủy nội địa- waterways)</w:t>
        </w:r>
        <w:r>
          <w:rPr>
            <w:noProof/>
            <w:webHidden/>
          </w:rPr>
          <w:tab/>
        </w:r>
        <w:r>
          <w:rPr>
            <w:noProof/>
            <w:webHidden/>
          </w:rPr>
          <w:fldChar w:fldCharType="begin"/>
        </w:r>
        <w:r>
          <w:rPr>
            <w:noProof/>
            <w:webHidden/>
          </w:rPr>
          <w:instrText xml:space="preserve"> PAGEREF _Toc535681058 \h </w:instrText>
        </w:r>
        <w:r>
          <w:rPr>
            <w:noProof/>
            <w:webHidden/>
          </w:rPr>
        </w:r>
        <w:r>
          <w:rPr>
            <w:noProof/>
            <w:webHidden/>
          </w:rPr>
          <w:fldChar w:fldCharType="separate"/>
        </w:r>
        <w:r>
          <w:rPr>
            <w:noProof/>
            <w:webHidden/>
          </w:rPr>
          <w:t>10</w:t>
        </w:r>
        <w:r>
          <w:rPr>
            <w:noProof/>
            <w:webHidden/>
          </w:rPr>
          <w:fldChar w:fldCharType="end"/>
        </w:r>
      </w:hyperlink>
    </w:p>
    <w:p w:rsidR="002B6619" w:rsidRDefault="002B6619">
      <w:pPr>
        <w:pStyle w:val="TOC2"/>
        <w:tabs>
          <w:tab w:val="left" w:pos="880"/>
          <w:tab w:val="right" w:leader="dot" w:pos="8630"/>
        </w:tabs>
        <w:rPr>
          <w:noProof/>
        </w:rPr>
      </w:pPr>
      <w:hyperlink w:anchor="_Toc535681059" w:history="1">
        <w:r w:rsidRPr="00170E8A">
          <w:rPr>
            <w:rStyle w:val="Hyperlink"/>
            <w:rFonts w:ascii="Times New Roman" w:hAnsi="Times New Roman" w:cs="Times New Roman"/>
            <w:b/>
            <w:i/>
            <w:iCs/>
            <w:noProof/>
          </w:rPr>
          <w:t>2.5.</w:t>
        </w:r>
        <w:r>
          <w:rPr>
            <w:noProof/>
          </w:rPr>
          <w:tab/>
        </w:r>
        <w:r w:rsidRPr="00170E8A">
          <w:rPr>
            <w:rStyle w:val="Hyperlink"/>
            <w:rFonts w:ascii="Times New Roman" w:hAnsi="Times New Roman" w:cs="Times New Roman"/>
            <w:b/>
            <w:i/>
            <w:iCs/>
            <w:noProof/>
          </w:rPr>
          <w:t>Vận chuyển hàng không dân dụng:</w:t>
        </w:r>
        <w:r>
          <w:rPr>
            <w:noProof/>
            <w:webHidden/>
          </w:rPr>
          <w:tab/>
        </w:r>
        <w:r>
          <w:rPr>
            <w:noProof/>
            <w:webHidden/>
          </w:rPr>
          <w:fldChar w:fldCharType="begin"/>
        </w:r>
        <w:r>
          <w:rPr>
            <w:noProof/>
            <w:webHidden/>
          </w:rPr>
          <w:instrText xml:space="preserve"> PAGEREF _Toc535681059 \h </w:instrText>
        </w:r>
        <w:r>
          <w:rPr>
            <w:noProof/>
            <w:webHidden/>
          </w:rPr>
        </w:r>
        <w:r>
          <w:rPr>
            <w:noProof/>
            <w:webHidden/>
          </w:rPr>
          <w:fldChar w:fldCharType="separate"/>
        </w:r>
        <w:r>
          <w:rPr>
            <w:noProof/>
            <w:webHidden/>
          </w:rPr>
          <w:t>13</w:t>
        </w:r>
        <w:r>
          <w:rPr>
            <w:noProof/>
            <w:webHidden/>
          </w:rPr>
          <w:fldChar w:fldCharType="end"/>
        </w:r>
      </w:hyperlink>
    </w:p>
    <w:p w:rsidR="002B6619" w:rsidRDefault="002B6619">
      <w:pPr>
        <w:pStyle w:val="TOC1"/>
        <w:tabs>
          <w:tab w:val="left" w:pos="440"/>
          <w:tab w:val="right" w:leader="dot" w:pos="8630"/>
        </w:tabs>
        <w:rPr>
          <w:noProof/>
        </w:rPr>
      </w:pPr>
      <w:hyperlink w:anchor="_Toc535681060" w:history="1">
        <w:r w:rsidRPr="00170E8A">
          <w:rPr>
            <w:rStyle w:val="Hyperlink"/>
            <w:rFonts w:ascii="Times New Roman" w:hAnsi="Times New Roman" w:cs="Times New Roman"/>
            <w:b/>
            <w:noProof/>
          </w:rPr>
          <w:t>3.</w:t>
        </w:r>
        <w:r>
          <w:rPr>
            <w:noProof/>
          </w:rPr>
          <w:tab/>
        </w:r>
        <w:r w:rsidRPr="00170E8A">
          <w:rPr>
            <w:rStyle w:val="Hyperlink"/>
            <w:rFonts w:ascii="Times New Roman" w:hAnsi="Times New Roman" w:cs="Times New Roman"/>
            <w:b/>
            <w:noProof/>
          </w:rPr>
          <w:t>Các hoạt động khác:</w:t>
        </w:r>
        <w:r>
          <w:rPr>
            <w:noProof/>
            <w:webHidden/>
          </w:rPr>
          <w:tab/>
        </w:r>
        <w:r>
          <w:rPr>
            <w:noProof/>
            <w:webHidden/>
          </w:rPr>
          <w:fldChar w:fldCharType="begin"/>
        </w:r>
        <w:r>
          <w:rPr>
            <w:noProof/>
            <w:webHidden/>
          </w:rPr>
          <w:instrText xml:space="preserve"> PAGEREF _Toc535681060 \h </w:instrText>
        </w:r>
        <w:r>
          <w:rPr>
            <w:noProof/>
            <w:webHidden/>
          </w:rPr>
        </w:r>
        <w:r>
          <w:rPr>
            <w:noProof/>
            <w:webHidden/>
          </w:rPr>
          <w:fldChar w:fldCharType="separate"/>
        </w:r>
        <w:r>
          <w:rPr>
            <w:noProof/>
            <w:webHidden/>
          </w:rPr>
          <w:t>15</w:t>
        </w:r>
        <w:r>
          <w:rPr>
            <w:noProof/>
            <w:webHidden/>
          </w:rPr>
          <w:fldChar w:fldCharType="end"/>
        </w:r>
      </w:hyperlink>
    </w:p>
    <w:p w:rsidR="002B6619" w:rsidRDefault="002B6619">
      <w:pPr>
        <w:pStyle w:val="TOC2"/>
        <w:tabs>
          <w:tab w:val="left" w:pos="880"/>
          <w:tab w:val="right" w:leader="dot" w:pos="8630"/>
        </w:tabs>
        <w:rPr>
          <w:noProof/>
        </w:rPr>
      </w:pPr>
      <w:hyperlink w:anchor="_Toc535681061" w:history="1">
        <w:r w:rsidRPr="00170E8A">
          <w:rPr>
            <w:rStyle w:val="Hyperlink"/>
            <w:rFonts w:ascii="Times New Roman" w:hAnsi="Times New Roman" w:cs="Times New Roman"/>
            <w:b/>
            <w:i/>
            <w:noProof/>
          </w:rPr>
          <w:t>3.1.</w:t>
        </w:r>
        <w:r>
          <w:rPr>
            <w:noProof/>
          </w:rPr>
          <w:tab/>
        </w:r>
        <w:r w:rsidRPr="00170E8A">
          <w:rPr>
            <w:rStyle w:val="Hyperlink"/>
            <w:rFonts w:ascii="Times New Roman" w:hAnsi="Times New Roman" w:cs="Times New Roman"/>
            <w:b/>
            <w:i/>
            <w:noProof/>
          </w:rPr>
          <w:t>Cảng biển</w:t>
        </w:r>
        <w:r>
          <w:rPr>
            <w:noProof/>
            <w:webHidden/>
          </w:rPr>
          <w:tab/>
        </w:r>
        <w:r>
          <w:rPr>
            <w:noProof/>
            <w:webHidden/>
          </w:rPr>
          <w:fldChar w:fldCharType="begin"/>
        </w:r>
        <w:r>
          <w:rPr>
            <w:noProof/>
            <w:webHidden/>
          </w:rPr>
          <w:instrText xml:space="preserve"> PAGEREF _Toc535681061 \h </w:instrText>
        </w:r>
        <w:r>
          <w:rPr>
            <w:noProof/>
            <w:webHidden/>
          </w:rPr>
        </w:r>
        <w:r>
          <w:rPr>
            <w:noProof/>
            <w:webHidden/>
          </w:rPr>
          <w:fldChar w:fldCharType="separate"/>
        </w:r>
        <w:r>
          <w:rPr>
            <w:noProof/>
            <w:webHidden/>
          </w:rPr>
          <w:t>15</w:t>
        </w:r>
        <w:r>
          <w:rPr>
            <w:noProof/>
            <w:webHidden/>
          </w:rPr>
          <w:fldChar w:fldCharType="end"/>
        </w:r>
      </w:hyperlink>
    </w:p>
    <w:p w:rsidR="002B6619" w:rsidRDefault="002B6619">
      <w:pPr>
        <w:pStyle w:val="TOC2"/>
        <w:tabs>
          <w:tab w:val="left" w:pos="880"/>
          <w:tab w:val="right" w:leader="dot" w:pos="8630"/>
        </w:tabs>
        <w:rPr>
          <w:noProof/>
        </w:rPr>
      </w:pPr>
      <w:hyperlink w:anchor="_Toc535681062" w:history="1">
        <w:r w:rsidRPr="00170E8A">
          <w:rPr>
            <w:rStyle w:val="Hyperlink"/>
            <w:rFonts w:ascii="Times New Roman" w:hAnsi="Times New Roman" w:cs="Times New Roman"/>
            <w:b/>
            <w:i/>
            <w:iCs/>
            <w:noProof/>
          </w:rPr>
          <w:t>3.2.</w:t>
        </w:r>
        <w:r>
          <w:rPr>
            <w:noProof/>
          </w:rPr>
          <w:tab/>
        </w:r>
        <w:r w:rsidRPr="00170E8A">
          <w:rPr>
            <w:rStyle w:val="Hyperlink"/>
            <w:rFonts w:ascii="Times New Roman" w:hAnsi="Times New Roman" w:cs="Times New Roman"/>
            <w:b/>
            <w:i/>
            <w:noProof/>
          </w:rPr>
          <w:t>Logistics cho thương mại điện tử, kho bãi, giao nhận:</w:t>
        </w:r>
        <w:r>
          <w:rPr>
            <w:noProof/>
            <w:webHidden/>
          </w:rPr>
          <w:tab/>
        </w:r>
        <w:r>
          <w:rPr>
            <w:noProof/>
            <w:webHidden/>
          </w:rPr>
          <w:fldChar w:fldCharType="begin"/>
        </w:r>
        <w:r>
          <w:rPr>
            <w:noProof/>
            <w:webHidden/>
          </w:rPr>
          <w:instrText xml:space="preserve"> PAGEREF _Toc535681062 \h </w:instrText>
        </w:r>
        <w:r>
          <w:rPr>
            <w:noProof/>
            <w:webHidden/>
          </w:rPr>
        </w:r>
        <w:r>
          <w:rPr>
            <w:noProof/>
            <w:webHidden/>
          </w:rPr>
          <w:fldChar w:fldCharType="separate"/>
        </w:r>
        <w:r>
          <w:rPr>
            <w:noProof/>
            <w:webHidden/>
          </w:rPr>
          <w:t>16</w:t>
        </w:r>
        <w:r>
          <w:rPr>
            <w:noProof/>
            <w:webHidden/>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EA7AD7">
        <w:rPr>
          <w:rFonts w:ascii="Times New Roman" w:hAnsi="Times New Roman" w:cs="Times New Roman"/>
          <w:b/>
          <w:sz w:val="32"/>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sz w:val="26"/>
          <w:szCs w:val="26"/>
        </w:rPr>
      </w:pPr>
    </w:p>
    <w:p w:rsidR="00BB64CB" w:rsidRPr="002665E5" w:rsidRDefault="00BB64CB" w:rsidP="00AC37BB">
      <w:pPr>
        <w:spacing w:line="312" w:lineRule="auto"/>
        <w:jc w:val="center"/>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bookmarkStart w:id="0" w:name="_GoBack"/>
      <w:r w:rsidRPr="00A90838">
        <w:rPr>
          <w:rFonts w:ascii="Times New Roman" w:hAnsi="Times New Roman" w:cs="Times New Roman"/>
          <w:b/>
          <w:sz w:val="24"/>
          <w:szCs w:val="24"/>
        </w:rPr>
        <w:lastRenderedPageBreak/>
        <w:t>DANH MỤC HÌNH</w:t>
      </w:r>
    </w:p>
    <w:p w:rsidR="002B6619" w:rsidRDefault="009B379A">
      <w:pPr>
        <w:pStyle w:val="TableofFigures"/>
        <w:tabs>
          <w:tab w:val="right" w:leader="dot" w:pos="8630"/>
        </w:tabs>
        <w:rPr>
          <w:noProof/>
        </w:rPr>
      </w:pPr>
      <w:r w:rsidRPr="00A90838">
        <w:rPr>
          <w:rFonts w:ascii="Times New Roman" w:hAnsi="Times New Roman" w:cs="Times New Roman"/>
          <w:b/>
          <w:sz w:val="24"/>
          <w:szCs w:val="24"/>
        </w:rPr>
        <w:fldChar w:fldCharType="begin"/>
      </w:r>
      <w:r w:rsidR="00C45DE0" w:rsidRPr="00A90838">
        <w:rPr>
          <w:rFonts w:ascii="Times New Roman" w:hAnsi="Times New Roman" w:cs="Times New Roman"/>
          <w:b/>
          <w:sz w:val="24"/>
          <w:szCs w:val="24"/>
        </w:rPr>
        <w:instrText xml:space="preserve"> TOC \h \z \c "Hình" </w:instrText>
      </w:r>
      <w:r w:rsidRPr="00A90838">
        <w:rPr>
          <w:rFonts w:ascii="Times New Roman" w:hAnsi="Times New Roman" w:cs="Times New Roman"/>
          <w:b/>
          <w:sz w:val="24"/>
          <w:szCs w:val="24"/>
        </w:rPr>
        <w:fldChar w:fldCharType="separate"/>
      </w:r>
      <w:hyperlink w:anchor="_Toc535681063" w:history="1">
        <w:r w:rsidR="002B6619" w:rsidRPr="0023158E">
          <w:rPr>
            <w:rStyle w:val="Hyperlink"/>
            <w:rFonts w:ascii="Times New Roman" w:hAnsi="Times New Roman" w:cs="Times New Roman"/>
            <w:b/>
            <w:noProof/>
          </w:rPr>
          <w:t>Hình 1: Chỉ số quản lý sức mua của Trung Quốc (đã điều chỉnh theo mùa)</w:t>
        </w:r>
        <w:r w:rsidR="002B6619">
          <w:rPr>
            <w:noProof/>
            <w:webHidden/>
          </w:rPr>
          <w:tab/>
        </w:r>
        <w:r w:rsidR="002B6619">
          <w:rPr>
            <w:noProof/>
            <w:webHidden/>
          </w:rPr>
          <w:fldChar w:fldCharType="begin"/>
        </w:r>
        <w:r w:rsidR="002B6619">
          <w:rPr>
            <w:noProof/>
            <w:webHidden/>
          </w:rPr>
          <w:instrText xml:space="preserve"> PAGEREF _Toc535681063 \h </w:instrText>
        </w:r>
        <w:r w:rsidR="002B6619">
          <w:rPr>
            <w:noProof/>
            <w:webHidden/>
          </w:rPr>
        </w:r>
        <w:r w:rsidR="002B6619">
          <w:rPr>
            <w:noProof/>
            <w:webHidden/>
          </w:rPr>
          <w:fldChar w:fldCharType="separate"/>
        </w:r>
        <w:r w:rsidR="002B6619">
          <w:rPr>
            <w:noProof/>
            <w:webHidden/>
          </w:rPr>
          <w:t>5</w:t>
        </w:r>
        <w:r w:rsidR="002B6619">
          <w:rPr>
            <w:noProof/>
            <w:webHidden/>
          </w:rPr>
          <w:fldChar w:fldCharType="end"/>
        </w:r>
      </w:hyperlink>
    </w:p>
    <w:p w:rsidR="002B6619" w:rsidRDefault="002B6619">
      <w:pPr>
        <w:pStyle w:val="TableofFigures"/>
        <w:tabs>
          <w:tab w:val="right" w:leader="dot" w:pos="8630"/>
        </w:tabs>
        <w:rPr>
          <w:noProof/>
        </w:rPr>
      </w:pPr>
      <w:hyperlink w:anchor="_Toc535681064" w:history="1">
        <w:r w:rsidRPr="0023158E">
          <w:rPr>
            <w:rStyle w:val="Hyperlink"/>
            <w:rFonts w:ascii="Times New Roman" w:hAnsi="Times New Roman" w:cs="Times New Roman"/>
            <w:noProof/>
          </w:rPr>
          <w:t>Hình 2: Tổng lượng vận chuyển hàng hóa theo tháng của Trung Quốc</w:t>
        </w:r>
        <w:r>
          <w:rPr>
            <w:noProof/>
            <w:webHidden/>
          </w:rPr>
          <w:tab/>
        </w:r>
        <w:r>
          <w:rPr>
            <w:noProof/>
            <w:webHidden/>
          </w:rPr>
          <w:fldChar w:fldCharType="begin"/>
        </w:r>
        <w:r>
          <w:rPr>
            <w:noProof/>
            <w:webHidden/>
          </w:rPr>
          <w:instrText xml:space="preserve"> PAGEREF _Toc535681064 \h </w:instrText>
        </w:r>
        <w:r>
          <w:rPr>
            <w:noProof/>
            <w:webHidden/>
          </w:rPr>
        </w:r>
        <w:r>
          <w:rPr>
            <w:noProof/>
            <w:webHidden/>
          </w:rPr>
          <w:fldChar w:fldCharType="separate"/>
        </w:r>
        <w:r>
          <w:rPr>
            <w:noProof/>
            <w:webHidden/>
          </w:rPr>
          <w:t>6</w:t>
        </w:r>
        <w:r>
          <w:rPr>
            <w:noProof/>
            <w:webHidden/>
          </w:rPr>
          <w:fldChar w:fldCharType="end"/>
        </w:r>
      </w:hyperlink>
    </w:p>
    <w:p w:rsidR="002B6619" w:rsidRDefault="002B6619">
      <w:pPr>
        <w:pStyle w:val="TableofFigures"/>
        <w:tabs>
          <w:tab w:val="right" w:leader="dot" w:pos="8630"/>
        </w:tabs>
        <w:rPr>
          <w:noProof/>
        </w:rPr>
      </w:pPr>
      <w:hyperlink w:anchor="_Toc535681065" w:history="1">
        <w:r w:rsidRPr="0023158E">
          <w:rPr>
            <w:rStyle w:val="Hyperlink"/>
            <w:rFonts w:ascii="Times New Roman" w:hAnsi="Times New Roman" w:cs="Times New Roman"/>
            <w:b/>
            <w:noProof/>
          </w:rPr>
          <w:t>Hình 3: Cơ cấu vận chuyển hàng hóa theo phương thức vận tải của Trung Quốc</w:t>
        </w:r>
        <w:r>
          <w:rPr>
            <w:noProof/>
            <w:webHidden/>
          </w:rPr>
          <w:tab/>
        </w:r>
        <w:r>
          <w:rPr>
            <w:noProof/>
            <w:webHidden/>
          </w:rPr>
          <w:fldChar w:fldCharType="begin"/>
        </w:r>
        <w:r>
          <w:rPr>
            <w:noProof/>
            <w:webHidden/>
          </w:rPr>
          <w:instrText xml:space="preserve"> PAGEREF _Toc535681065 \h </w:instrText>
        </w:r>
        <w:r>
          <w:rPr>
            <w:noProof/>
            <w:webHidden/>
          </w:rPr>
        </w:r>
        <w:r>
          <w:rPr>
            <w:noProof/>
            <w:webHidden/>
          </w:rPr>
          <w:fldChar w:fldCharType="separate"/>
        </w:r>
        <w:r>
          <w:rPr>
            <w:noProof/>
            <w:webHidden/>
          </w:rPr>
          <w:t>7</w:t>
        </w:r>
        <w:r>
          <w:rPr>
            <w:noProof/>
            <w:webHidden/>
          </w:rPr>
          <w:fldChar w:fldCharType="end"/>
        </w:r>
      </w:hyperlink>
    </w:p>
    <w:p w:rsidR="002B6619" w:rsidRDefault="002B6619">
      <w:pPr>
        <w:pStyle w:val="TableofFigures"/>
        <w:tabs>
          <w:tab w:val="right" w:leader="dot" w:pos="8630"/>
        </w:tabs>
        <w:rPr>
          <w:noProof/>
        </w:rPr>
      </w:pPr>
      <w:hyperlink w:anchor="_Toc535681066" w:history="1">
        <w:r w:rsidRPr="0023158E">
          <w:rPr>
            <w:rStyle w:val="Hyperlink"/>
            <w:rFonts w:ascii="Times New Roman" w:hAnsi="Times New Roman" w:cs="Times New Roman"/>
            <w:b/>
            <w:noProof/>
          </w:rPr>
          <w:t>Hình 4: Vận chuyển hàng hóa bằng đường sắt theo tháng</w:t>
        </w:r>
        <w:r>
          <w:rPr>
            <w:noProof/>
            <w:webHidden/>
          </w:rPr>
          <w:tab/>
        </w:r>
        <w:r>
          <w:rPr>
            <w:noProof/>
            <w:webHidden/>
          </w:rPr>
          <w:fldChar w:fldCharType="begin"/>
        </w:r>
        <w:r>
          <w:rPr>
            <w:noProof/>
            <w:webHidden/>
          </w:rPr>
          <w:instrText xml:space="preserve"> PAGEREF _Toc535681066 \h </w:instrText>
        </w:r>
        <w:r>
          <w:rPr>
            <w:noProof/>
            <w:webHidden/>
          </w:rPr>
        </w:r>
        <w:r>
          <w:rPr>
            <w:noProof/>
            <w:webHidden/>
          </w:rPr>
          <w:fldChar w:fldCharType="separate"/>
        </w:r>
        <w:r>
          <w:rPr>
            <w:noProof/>
            <w:webHidden/>
          </w:rPr>
          <w:t>8</w:t>
        </w:r>
        <w:r>
          <w:rPr>
            <w:noProof/>
            <w:webHidden/>
          </w:rPr>
          <w:fldChar w:fldCharType="end"/>
        </w:r>
      </w:hyperlink>
    </w:p>
    <w:p w:rsidR="002B6619" w:rsidRDefault="002B6619">
      <w:pPr>
        <w:pStyle w:val="TableofFigures"/>
        <w:tabs>
          <w:tab w:val="right" w:leader="dot" w:pos="8630"/>
        </w:tabs>
        <w:rPr>
          <w:noProof/>
        </w:rPr>
      </w:pPr>
      <w:hyperlink w:anchor="_Toc535681067" w:history="1">
        <w:r w:rsidRPr="0023158E">
          <w:rPr>
            <w:rStyle w:val="Hyperlink"/>
            <w:rFonts w:ascii="Times New Roman" w:hAnsi="Times New Roman" w:cs="Times New Roman"/>
            <w:b/>
            <w:noProof/>
          </w:rPr>
          <w:t xml:space="preserve">Hình 5: </w:t>
        </w:r>
        <w:r w:rsidRPr="0023158E">
          <w:rPr>
            <w:rStyle w:val="Hyperlink"/>
            <w:rFonts w:ascii="Times New Roman" w:hAnsi="Times New Roman" w:cs="Times New Roman"/>
            <w:b/>
            <w:bCs/>
            <w:noProof/>
          </w:rPr>
          <w:t>Vận chuyển hàng hóa bằng đường bộ theo tháng</w:t>
        </w:r>
        <w:r>
          <w:rPr>
            <w:noProof/>
            <w:webHidden/>
          </w:rPr>
          <w:tab/>
        </w:r>
        <w:r>
          <w:rPr>
            <w:noProof/>
            <w:webHidden/>
          </w:rPr>
          <w:fldChar w:fldCharType="begin"/>
        </w:r>
        <w:r>
          <w:rPr>
            <w:noProof/>
            <w:webHidden/>
          </w:rPr>
          <w:instrText xml:space="preserve"> PAGEREF _Toc535681067 \h </w:instrText>
        </w:r>
        <w:r>
          <w:rPr>
            <w:noProof/>
            <w:webHidden/>
          </w:rPr>
        </w:r>
        <w:r>
          <w:rPr>
            <w:noProof/>
            <w:webHidden/>
          </w:rPr>
          <w:fldChar w:fldCharType="separate"/>
        </w:r>
        <w:r>
          <w:rPr>
            <w:noProof/>
            <w:webHidden/>
          </w:rPr>
          <w:t>10</w:t>
        </w:r>
        <w:r>
          <w:rPr>
            <w:noProof/>
            <w:webHidden/>
          </w:rPr>
          <w:fldChar w:fldCharType="end"/>
        </w:r>
      </w:hyperlink>
    </w:p>
    <w:p w:rsidR="002B6619" w:rsidRDefault="002B6619">
      <w:pPr>
        <w:pStyle w:val="TableofFigures"/>
        <w:tabs>
          <w:tab w:val="right" w:leader="dot" w:pos="8630"/>
        </w:tabs>
        <w:rPr>
          <w:noProof/>
        </w:rPr>
      </w:pPr>
      <w:hyperlink w:anchor="_Toc535681068" w:history="1">
        <w:r w:rsidRPr="0023158E">
          <w:rPr>
            <w:rStyle w:val="Hyperlink"/>
            <w:rFonts w:ascii="Times New Roman" w:hAnsi="Times New Roman" w:cs="Times New Roman"/>
            <w:b/>
            <w:noProof/>
          </w:rPr>
          <w:t xml:space="preserve">Hình 6: </w:t>
        </w:r>
        <w:r w:rsidRPr="0023158E">
          <w:rPr>
            <w:rStyle w:val="Hyperlink"/>
            <w:rFonts w:ascii="Times New Roman" w:hAnsi="Times New Roman" w:cs="Times New Roman"/>
            <w:b/>
            <w:bCs/>
            <w:noProof/>
          </w:rPr>
          <w:t>Vận chuyển hàng hóa bằng đường thủy theo tháng</w:t>
        </w:r>
        <w:r>
          <w:rPr>
            <w:noProof/>
            <w:webHidden/>
          </w:rPr>
          <w:tab/>
        </w:r>
        <w:r>
          <w:rPr>
            <w:noProof/>
            <w:webHidden/>
          </w:rPr>
          <w:fldChar w:fldCharType="begin"/>
        </w:r>
        <w:r>
          <w:rPr>
            <w:noProof/>
            <w:webHidden/>
          </w:rPr>
          <w:instrText xml:space="preserve"> PAGEREF _Toc535681068 \h </w:instrText>
        </w:r>
        <w:r>
          <w:rPr>
            <w:noProof/>
            <w:webHidden/>
          </w:rPr>
        </w:r>
        <w:r>
          <w:rPr>
            <w:noProof/>
            <w:webHidden/>
          </w:rPr>
          <w:fldChar w:fldCharType="separate"/>
        </w:r>
        <w:r>
          <w:rPr>
            <w:noProof/>
            <w:webHidden/>
          </w:rPr>
          <w:t>11</w:t>
        </w:r>
        <w:r>
          <w:rPr>
            <w:noProof/>
            <w:webHidden/>
          </w:rPr>
          <w:fldChar w:fldCharType="end"/>
        </w:r>
      </w:hyperlink>
    </w:p>
    <w:p w:rsidR="002B6619" w:rsidRDefault="002B6619">
      <w:pPr>
        <w:pStyle w:val="TableofFigures"/>
        <w:tabs>
          <w:tab w:val="right" w:leader="dot" w:pos="8630"/>
        </w:tabs>
        <w:rPr>
          <w:noProof/>
        </w:rPr>
      </w:pPr>
      <w:hyperlink w:anchor="_Toc535681069" w:history="1">
        <w:r w:rsidRPr="0023158E">
          <w:rPr>
            <w:rStyle w:val="Hyperlink"/>
            <w:rFonts w:ascii="Times New Roman" w:hAnsi="Times New Roman" w:cs="Times New Roman"/>
            <w:b/>
            <w:noProof/>
          </w:rPr>
          <w:t xml:space="preserve">Hình 7: </w:t>
        </w:r>
        <w:r w:rsidRPr="0023158E">
          <w:rPr>
            <w:rStyle w:val="Hyperlink"/>
            <w:rFonts w:ascii="Times New Roman" w:hAnsi="Times New Roman" w:cs="Times New Roman"/>
            <w:b/>
            <w:bCs/>
            <w:noProof/>
          </w:rPr>
          <w:t>Vận chuyển hàng hóa bằng hàng không dân dụng của Trung Quốc (đvt: 10.000 tấn)</w:t>
        </w:r>
        <w:r>
          <w:rPr>
            <w:noProof/>
            <w:webHidden/>
          </w:rPr>
          <w:tab/>
        </w:r>
        <w:r>
          <w:rPr>
            <w:noProof/>
            <w:webHidden/>
          </w:rPr>
          <w:fldChar w:fldCharType="begin"/>
        </w:r>
        <w:r>
          <w:rPr>
            <w:noProof/>
            <w:webHidden/>
          </w:rPr>
          <w:instrText xml:space="preserve"> PAGEREF _Toc535681069 \h </w:instrText>
        </w:r>
        <w:r>
          <w:rPr>
            <w:noProof/>
            <w:webHidden/>
          </w:rPr>
        </w:r>
        <w:r>
          <w:rPr>
            <w:noProof/>
            <w:webHidden/>
          </w:rPr>
          <w:fldChar w:fldCharType="separate"/>
        </w:r>
        <w:r>
          <w:rPr>
            <w:noProof/>
            <w:webHidden/>
          </w:rPr>
          <w:t>14</w:t>
        </w:r>
        <w:r>
          <w:rPr>
            <w:noProof/>
            <w:webHidden/>
          </w:rPr>
          <w:fldChar w:fldCharType="end"/>
        </w:r>
      </w:hyperlink>
    </w:p>
    <w:p w:rsidR="002B6619" w:rsidRDefault="002B6619">
      <w:pPr>
        <w:pStyle w:val="TableofFigures"/>
        <w:tabs>
          <w:tab w:val="right" w:leader="dot" w:pos="8630"/>
        </w:tabs>
        <w:rPr>
          <w:noProof/>
        </w:rPr>
      </w:pPr>
      <w:hyperlink w:anchor="_Toc535681070" w:history="1">
        <w:r w:rsidRPr="0023158E">
          <w:rPr>
            <w:rStyle w:val="Hyperlink"/>
            <w:rFonts w:ascii="Times New Roman" w:hAnsi="Times New Roman" w:cs="Times New Roman"/>
            <w:b/>
            <w:noProof/>
          </w:rPr>
          <w:t>Hình 8:</w:t>
        </w:r>
        <w:r w:rsidRPr="0023158E">
          <w:rPr>
            <w:rStyle w:val="Hyperlink"/>
            <w:noProof/>
          </w:rPr>
          <w:t xml:space="preserve"> </w:t>
        </w:r>
        <w:r w:rsidRPr="0023158E">
          <w:rPr>
            <w:rStyle w:val="Hyperlink"/>
            <w:rFonts w:ascii="Times New Roman" w:hAnsi="Times New Roman" w:cs="Times New Roman"/>
            <w:b/>
            <w:noProof/>
          </w:rPr>
          <w:t>Lượng hàng hóa qua các cảng chính của Trung Quốc</w:t>
        </w:r>
        <w:r>
          <w:rPr>
            <w:noProof/>
            <w:webHidden/>
          </w:rPr>
          <w:tab/>
        </w:r>
        <w:r>
          <w:rPr>
            <w:noProof/>
            <w:webHidden/>
          </w:rPr>
          <w:fldChar w:fldCharType="begin"/>
        </w:r>
        <w:r>
          <w:rPr>
            <w:noProof/>
            <w:webHidden/>
          </w:rPr>
          <w:instrText xml:space="preserve"> PAGEREF _Toc535681070 \h </w:instrText>
        </w:r>
        <w:r>
          <w:rPr>
            <w:noProof/>
            <w:webHidden/>
          </w:rPr>
        </w:r>
        <w:r>
          <w:rPr>
            <w:noProof/>
            <w:webHidden/>
          </w:rPr>
          <w:fldChar w:fldCharType="separate"/>
        </w:r>
        <w:r>
          <w:rPr>
            <w:noProof/>
            <w:webHidden/>
          </w:rPr>
          <w:t>15</w:t>
        </w:r>
        <w:r>
          <w:rPr>
            <w:noProof/>
            <w:webHidden/>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A90838">
        <w:rPr>
          <w:rFonts w:ascii="Times New Roman" w:hAnsi="Times New Roman" w:cs="Times New Roman"/>
          <w:b/>
          <w:sz w:val="24"/>
          <w:szCs w:val="24"/>
        </w:rPr>
        <w:fldChar w:fldCharType="end"/>
      </w:r>
    </w:p>
    <w:p w:rsidR="00C45DE0" w:rsidRPr="00A90838" w:rsidRDefault="00C45DE0" w:rsidP="00AC37BB">
      <w:pPr>
        <w:spacing w:line="312" w:lineRule="auto"/>
        <w:jc w:val="center"/>
        <w:rPr>
          <w:rFonts w:ascii="Times New Roman" w:hAnsi="Times New Roman" w:cs="Times New Roman"/>
          <w:sz w:val="24"/>
          <w:szCs w:val="24"/>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t>DANH MỤC BẢNG</w:t>
      </w:r>
    </w:p>
    <w:p w:rsidR="002B6619" w:rsidRPr="002B6619" w:rsidRDefault="009B379A">
      <w:pPr>
        <w:pStyle w:val="TableofFigures"/>
        <w:tabs>
          <w:tab w:val="right" w:leader="dot" w:pos="8630"/>
        </w:tabs>
        <w:rPr>
          <w:noProof/>
        </w:rPr>
      </w:pPr>
      <w:r w:rsidRPr="002B6619">
        <w:rPr>
          <w:rFonts w:ascii="Times New Roman" w:hAnsi="Times New Roman" w:cs="Times New Roman"/>
          <w:sz w:val="24"/>
          <w:szCs w:val="24"/>
        </w:rPr>
        <w:fldChar w:fldCharType="begin"/>
      </w:r>
      <w:r w:rsidR="00C45DE0" w:rsidRPr="002B6619">
        <w:rPr>
          <w:rFonts w:ascii="Times New Roman" w:hAnsi="Times New Roman" w:cs="Times New Roman"/>
          <w:sz w:val="24"/>
          <w:szCs w:val="24"/>
        </w:rPr>
        <w:instrText xml:space="preserve"> TOC \h \z \c "Bảng" </w:instrText>
      </w:r>
      <w:r w:rsidRPr="002B6619">
        <w:rPr>
          <w:rFonts w:ascii="Times New Roman" w:hAnsi="Times New Roman" w:cs="Times New Roman"/>
          <w:sz w:val="24"/>
          <w:szCs w:val="24"/>
        </w:rPr>
        <w:fldChar w:fldCharType="separate"/>
      </w:r>
      <w:hyperlink w:anchor="_Toc535681071" w:history="1">
        <w:r w:rsidR="002B6619" w:rsidRPr="002B6619">
          <w:rPr>
            <w:rStyle w:val="Hyperlink"/>
            <w:rFonts w:ascii="Times New Roman" w:hAnsi="Times New Roman" w:cs="Times New Roman"/>
            <w:iCs/>
            <w:noProof/>
          </w:rPr>
          <w:t>Bảng 1:</w:t>
        </w:r>
        <w:r w:rsidR="002B6619" w:rsidRPr="002B6619">
          <w:rPr>
            <w:rStyle w:val="Hyperlink"/>
            <w:rFonts w:ascii="Times New Roman" w:hAnsi="Times New Roman" w:cs="Times New Roman"/>
            <w:i/>
            <w:iCs/>
            <w:noProof/>
          </w:rPr>
          <w:t xml:space="preserve">  </w:t>
        </w:r>
        <w:r w:rsidR="002B6619" w:rsidRPr="002B6619">
          <w:rPr>
            <w:rStyle w:val="Hyperlink"/>
            <w:rFonts w:ascii="Times New Roman" w:hAnsi="Times New Roman" w:cs="Times New Roman"/>
            <w:iCs/>
            <w:noProof/>
          </w:rPr>
          <w:t>Các chỉ tiêu vận chuyển hàng hóa của Trung Quốc</w:t>
        </w:r>
        <w:r w:rsidR="002B6619" w:rsidRPr="002B6619">
          <w:rPr>
            <w:noProof/>
            <w:webHidden/>
          </w:rPr>
          <w:tab/>
        </w:r>
        <w:r w:rsidR="002B6619" w:rsidRPr="002B6619">
          <w:rPr>
            <w:noProof/>
            <w:webHidden/>
          </w:rPr>
          <w:fldChar w:fldCharType="begin"/>
        </w:r>
        <w:r w:rsidR="002B6619" w:rsidRPr="002B6619">
          <w:rPr>
            <w:noProof/>
            <w:webHidden/>
          </w:rPr>
          <w:instrText xml:space="preserve"> PAGEREF _Toc535681071 \h </w:instrText>
        </w:r>
        <w:r w:rsidR="002B6619" w:rsidRPr="002B6619">
          <w:rPr>
            <w:noProof/>
            <w:webHidden/>
          </w:rPr>
        </w:r>
        <w:r w:rsidR="002B6619" w:rsidRPr="002B6619">
          <w:rPr>
            <w:noProof/>
            <w:webHidden/>
          </w:rPr>
          <w:fldChar w:fldCharType="separate"/>
        </w:r>
        <w:r w:rsidR="002B6619">
          <w:rPr>
            <w:noProof/>
            <w:webHidden/>
          </w:rPr>
          <w:t>7</w:t>
        </w:r>
        <w:r w:rsidR="002B6619" w:rsidRPr="002B6619">
          <w:rPr>
            <w:noProof/>
            <w:webHidden/>
          </w:rPr>
          <w:fldChar w:fldCharType="end"/>
        </w:r>
      </w:hyperlink>
    </w:p>
    <w:p w:rsidR="002B6619" w:rsidRPr="002B6619" w:rsidRDefault="002B6619">
      <w:pPr>
        <w:pStyle w:val="TableofFigures"/>
        <w:tabs>
          <w:tab w:val="right" w:leader="dot" w:pos="8630"/>
        </w:tabs>
        <w:rPr>
          <w:noProof/>
        </w:rPr>
      </w:pPr>
      <w:hyperlink w:anchor="_Toc535681072" w:history="1">
        <w:r w:rsidRPr="002B6619">
          <w:rPr>
            <w:rStyle w:val="Hyperlink"/>
            <w:rFonts w:ascii="Times New Roman" w:hAnsi="Times New Roman" w:cs="Times New Roman"/>
            <w:iCs/>
            <w:noProof/>
          </w:rPr>
          <w:t>Bảng 2:</w:t>
        </w:r>
        <w:r w:rsidRPr="002B6619">
          <w:rPr>
            <w:rStyle w:val="Hyperlink"/>
            <w:rFonts w:ascii="Times New Roman" w:hAnsi="Times New Roman" w:cs="Times New Roman"/>
            <w:i/>
            <w:iCs/>
            <w:noProof/>
          </w:rPr>
          <w:t xml:space="preserve">  </w:t>
        </w:r>
        <w:r w:rsidRPr="002B6619">
          <w:rPr>
            <w:rStyle w:val="Hyperlink"/>
            <w:rFonts w:ascii="Times New Roman" w:hAnsi="Times New Roman" w:cs="Times New Roman"/>
            <w:iCs/>
            <w:noProof/>
          </w:rPr>
          <w:t>Phụ phí do mức lưu huỳnh thấp của Trung Quốc áp dụng cho các lô hàng được tải / quá cảnh tại khu vực Thượng Hải, Ninh Ba, Nam Kinh và sông Dương Tử</w:t>
        </w:r>
        <w:r w:rsidRPr="002B6619">
          <w:rPr>
            <w:noProof/>
            <w:webHidden/>
          </w:rPr>
          <w:tab/>
        </w:r>
        <w:r w:rsidRPr="002B6619">
          <w:rPr>
            <w:noProof/>
            <w:webHidden/>
          </w:rPr>
          <w:fldChar w:fldCharType="begin"/>
        </w:r>
        <w:r w:rsidRPr="002B6619">
          <w:rPr>
            <w:noProof/>
            <w:webHidden/>
          </w:rPr>
          <w:instrText xml:space="preserve"> PAGEREF _Toc535681072 \h </w:instrText>
        </w:r>
        <w:r w:rsidRPr="002B6619">
          <w:rPr>
            <w:noProof/>
            <w:webHidden/>
          </w:rPr>
        </w:r>
        <w:r w:rsidRPr="002B6619">
          <w:rPr>
            <w:noProof/>
            <w:webHidden/>
          </w:rPr>
          <w:fldChar w:fldCharType="separate"/>
        </w:r>
        <w:r>
          <w:rPr>
            <w:noProof/>
            <w:webHidden/>
          </w:rPr>
          <w:t>12</w:t>
        </w:r>
        <w:r w:rsidRPr="002B6619">
          <w:rPr>
            <w:noProof/>
            <w:webHidden/>
          </w:rPr>
          <w:fldChar w:fldCharType="end"/>
        </w:r>
      </w:hyperlink>
    </w:p>
    <w:p w:rsidR="002B6619" w:rsidRPr="002B6619" w:rsidRDefault="002B6619">
      <w:pPr>
        <w:pStyle w:val="TableofFigures"/>
        <w:tabs>
          <w:tab w:val="right" w:leader="dot" w:pos="8630"/>
        </w:tabs>
        <w:rPr>
          <w:noProof/>
        </w:rPr>
      </w:pPr>
      <w:hyperlink w:anchor="_Toc535681073" w:history="1">
        <w:r w:rsidRPr="002B6619">
          <w:rPr>
            <w:rStyle w:val="Hyperlink"/>
            <w:rFonts w:ascii="Times New Roman" w:hAnsi="Times New Roman" w:cs="Times New Roman"/>
            <w:iCs/>
            <w:noProof/>
          </w:rPr>
          <w:t>Bảng 3:</w:t>
        </w:r>
        <w:r w:rsidRPr="002B6619">
          <w:rPr>
            <w:rStyle w:val="Hyperlink"/>
            <w:rFonts w:ascii="Times New Roman" w:hAnsi="Times New Roman" w:cs="Times New Roman"/>
            <w:i/>
            <w:iCs/>
            <w:noProof/>
          </w:rPr>
          <w:t xml:space="preserve">  </w:t>
        </w:r>
        <w:r w:rsidRPr="002B6619">
          <w:rPr>
            <w:rStyle w:val="Hyperlink"/>
            <w:rFonts w:ascii="Times New Roman" w:eastAsia="Times New Roman" w:hAnsi="Times New Roman" w:cs="Times New Roman"/>
            <w:bCs/>
            <w:noProof/>
            <w:spacing w:val="8"/>
          </w:rPr>
          <w:t>Vận chuyển hàng hóa giữa Trung Quốc và châu Âu</w:t>
        </w:r>
        <w:r w:rsidRPr="002B6619">
          <w:rPr>
            <w:noProof/>
            <w:webHidden/>
          </w:rPr>
          <w:tab/>
        </w:r>
        <w:r w:rsidRPr="002B6619">
          <w:rPr>
            <w:noProof/>
            <w:webHidden/>
          </w:rPr>
          <w:fldChar w:fldCharType="begin"/>
        </w:r>
        <w:r w:rsidRPr="002B6619">
          <w:rPr>
            <w:noProof/>
            <w:webHidden/>
          </w:rPr>
          <w:instrText xml:space="preserve"> PAGEREF _Toc535681073 \h </w:instrText>
        </w:r>
        <w:r w:rsidRPr="002B6619">
          <w:rPr>
            <w:noProof/>
            <w:webHidden/>
          </w:rPr>
        </w:r>
        <w:r w:rsidRPr="002B6619">
          <w:rPr>
            <w:noProof/>
            <w:webHidden/>
          </w:rPr>
          <w:fldChar w:fldCharType="separate"/>
        </w:r>
        <w:r>
          <w:rPr>
            <w:noProof/>
            <w:webHidden/>
          </w:rPr>
          <w:t>19</w:t>
        </w:r>
        <w:r w:rsidRPr="002B6619">
          <w:rPr>
            <w:noProof/>
            <w:webHidden/>
          </w:rPr>
          <w:fldChar w:fldCharType="end"/>
        </w:r>
      </w:hyperlink>
    </w:p>
    <w:p w:rsidR="00C45DE0" w:rsidRPr="002B6619" w:rsidRDefault="009B379A" w:rsidP="00AC37BB">
      <w:pPr>
        <w:spacing w:line="312" w:lineRule="auto"/>
        <w:jc w:val="center"/>
        <w:rPr>
          <w:rFonts w:ascii="Times New Roman" w:hAnsi="Times New Roman" w:cs="Times New Roman"/>
          <w:sz w:val="24"/>
          <w:szCs w:val="24"/>
        </w:rPr>
      </w:pPr>
      <w:r w:rsidRPr="002B6619">
        <w:rPr>
          <w:rFonts w:ascii="Times New Roman" w:hAnsi="Times New Roman" w:cs="Times New Roman"/>
          <w:sz w:val="24"/>
          <w:szCs w:val="24"/>
        </w:rPr>
        <w:fldChar w:fldCharType="end"/>
      </w:r>
    </w:p>
    <w:bookmarkEnd w:id="0"/>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BB64CB" w:rsidRDefault="00BB64CB" w:rsidP="00AC37BB">
      <w:pPr>
        <w:spacing w:line="312" w:lineRule="auto"/>
        <w:jc w:val="center"/>
        <w:rPr>
          <w:rFonts w:ascii="Times New Roman" w:hAnsi="Times New Roman" w:cs="Times New Roman"/>
          <w:b/>
          <w:sz w:val="26"/>
          <w:szCs w:val="26"/>
        </w:rPr>
      </w:pPr>
    </w:p>
    <w:p w:rsidR="00BB64CB" w:rsidRDefault="00BB64CB" w:rsidP="00AC37BB">
      <w:pPr>
        <w:spacing w:line="312" w:lineRule="auto"/>
        <w:jc w:val="center"/>
        <w:rPr>
          <w:rFonts w:ascii="Times New Roman" w:hAnsi="Times New Roman" w:cs="Times New Roman"/>
          <w:b/>
          <w:sz w:val="26"/>
          <w:szCs w:val="26"/>
        </w:rPr>
      </w:pPr>
    </w:p>
    <w:p w:rsidR="00BB64CB" w:rsidRDefault="00BB64CB" w:rsidP="00AC37BB">
      <w:pPr>
        <w:spacing w:line="312" w:lineRule="auto"/>
        <w:jc w:val="center"/>
        <w:rPr>
          <w:rFonts w:ascii="Times New Roman" w:hAnsi="Times New Roman" w:cs="Times New Roman"/>
          <w:b/>
          <w:sz w:val="26"/>
          <w:szCs w:val="26"/>
        </w:rPr>
      </w:pPr>
    </w:p>
    <w:p w:rsidR="002B6619" w:rsidRDefault="002B6619" w:rsidP="00AC37BB">
      <w:pPr>
        <w:spacing w:line="312" w:lineRule="auto"/>
        <w:jc w:val="center"/>
        <w:rPr>
          <w:rFonts w:ascii="Times New Roman" w:hAnsi="Times New Roman" w:cs="Times New Roman"/>
          <w:b/>
          <w:sz w:val="26"/>
          <w:szCs w:val="26"/>
        </w:rPr>
      </w:pPr>
    </w:p>
    <w:p w:rsidR="002B6619" w:rsidRDefault="002B6619" w:rsidP="00AC37BB">
      <w:pPr>
        <w:spacing w:line="312" w:lineRule="auto"/>
        <w:jc w:val="center"/>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35681051"/>
      <w:r w:rsidRPr="00105E9D">
        <w:rPr>
          <w:rFonts w:ascii="Times New Roman" w:hAnsi="Times New Roman" w:cs="Times New Roman"/>
          <w:b/>
          <w:sz w:val="26"/>
          <w:szCs w:val="26"/>
        </w:rPr>
        <w:t>Tình hình chung</w:t>
      </w:r>
      <w:bookmarkEnd w:id="1"/>
    </w:p>
    <w:p w:rsidR="00392A7A" w:rsidRPr="005A32AF" w:rsidRDefault="00392A7A" w:rsidP="005A32AF">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35681052"/>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BD622A" w:rsidRDefault="00BD622A" w:rsidP="00BD622A">
      <w:pPr>
        <w:spacing w:line="312" w:lineRule="auto"/>
        <w:ind w:firstLine="720"/>
        <w:jc w:val="both"/>
        <w:rPr>
          <w:rStyle w:val="Emphasis"/>
          <w:rFonts w:ascii="Times New Roman" w:hAnsi="Times New Roman" w:cs="Times New Roman"/>
          <w:i w:val="0"/>
          <w:sz w:val="26"/>
          <w:szCs w:val="26"/>
        </w:rPr>
      </w:pPr>
      <w:r w:rsidRPr="00BD622A">
        <w:rPr>
          <w:rStyle w:val="Emphasis"/>
          <w:rFonts w:ascii="Times New Roman" w:hAnsi="Times New Roman" w:cs="Times New Roman"/>
          <w:i w:val="0"/>
          <w:sz w:val="26"/>
          <w:szCs w:val="26"/>
        </w:rPr>
        <w:t xml:space="preserve">Với sự gia tăng của GDP và nhu cầu </w:t>
      </w:r>
      <w:r w:rsidR="002B6619">
        <w:rPr>
          <w:rStyle w:val="Emphasis"/>
          <w:rFonts w:ascii="Times New Roman" w:hAnsi="Times New Roman" w:cs="Times New Roman"/>
          <w:i w:val="0"/>
          <w:sz w:val="26"/>
          <w:szCs w:val="26"/>
        </w:rPr>
        <w:t>logistics</w:t>
      </w:r>
      <w:r w:rsidRPr="00BD622A">
        <w:rPr>
          <w:rStyle w:val="Emphasis"/>
          <w:rFonts w:ascii="Times New Roman" w:hAnsi="Times New Roman" w:cs="Times New Roman"/>
          <w:i w:val="0"/>
          <w:sz w:val="26"/>
          <w:szCs w:val="26"/>
        </w:rPr>
        <w:t xml:space="preserve">, ước tính tổng chi phí </w:t>
      </w:r>
      <w:r>
        <w:rPr>
          <w:rStyle w:val="Emphasis"/>
          <w:rFonts w:ascii="Times New Roman" w:hAnsi="Times New Roman" w:cs="Times New Roman"/>
          <w:i w:val="0"/>
          <w:sz w:val="26"/>
          <w:szCs w:val="26"/>
        </w:rPr>
        <w:t xml:space="preserve">logistics </w:t>
      </w:r>
      <w:r w:rsidRPr="00BD622A">
        <w:rPr>
          <w:rStyle w:val="Emphasis"/>
          <w:rFonts w:ascii="Times New Roman" w:hAnsi="Times New Roman" w:cs="Times New Roman"/>
          <w:i w:val="0"/>
          <w:sz w:val="26"/>
          <w:szCs w:val="26"/>
        </w:rPr>
        <w:t xml:space="preserve">ở Trung Quốc sẽ </w:t>
      </w:r>
      <w:r>
        <w:rPr>
          <w:rStyle w:val="Emphasis"/>
          <w:rFonts w:ascii="Times New Roman" w:hAnsi="Times New Roman" w:cs="Times New Roman"/>
          <w:i w:val="0"/>
          <w:sz w:val="26"/>
          <w:szCs w:val="26"/>
        </w:rPr>
        <w:t xml:space="preserve">đạt khoảng </w:t>
      </w:r>
      <w:r w:rsidRPr="00BD622A">
        <w:rPr>
          <w:rStyle w:val="Emphasis"/>
          <w:rFonts w:ascii="Times New Roman" w:hAnsi="Times New Roman" w:cs="Times New Roman"/>
          <w:i w:val="0"/>
          <w:sz w:val="26"/>
          <w:szCs w:val="26"/>
        </w:rPr>
        <w:t>13 nghìn tỷ nhân dân tệ (1,89 nghìn tỷ USD) trong năm 2018</w:t>
      </w:r>
      <w:r>
        <w:rPr>
          <w:rStyle w:val="Emphasis"/>
          <w:rFonts w:ascii="Times New Roman" w:hAnsi="Times New Roman" w:cs="Times New Roman"/>
          <w:i w:val="0"/>
          <w:sz w:val="26"/>
          <w:szCs w:val="26"/>
        </w:rPr>
        <w:t>.</w:t>
      </w:r>
    </w:p>
    <w:p w:rsidR="004A17EC" w:rsidRPr="004A17EC" w:rsidRDefault="005A32AF" w:rsidP="00BD622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báo cáo của Liên đoàn logistics và thu mua Trung Quốc (China Federation of Logistics and Purchasing),</w:t>
      </w:r>
      <w:r w:rsidR="00533774">
        <w:rPr>
          <w:rStyle w:val="Emphasis"/>
          <w:rFonts w:ascii="Times New Roman" w:hAnsi="Times New Roman" w:cs="Times New Roman"/>
          <w:i w:val="0"/>
          <w:sz w:val="26"/>
          <w:szCs w:val="26"/>
        </w:rPr>
        <w:t xml:space="preserve"> </w:t>
      </w:r>
      <w:r w:rsidR="00BD622A">
        <w:rPr>
          <w:rStyle w:val="Emphasis"/>
          <w:rFonts w:ascii="Times New Roman" w:hAnsi="Times New Roman" w:cs="Times New Roman"/>
          <w:i w:val="0"/>
          <w:sz w:val="26"/>
          <w:szCs w:val="26"/>
        </w:rPr>
        <w:t>c</w:t>
      </w:r>
      <w:r w:rsidR="004A17EC" w:rsidRPr="00E331D7">
        <w:rPr>
          <w:rStyle w:val="Emphasis"/>
          <w:rFonts w:ascii="Times New Roman" w:hAnsi="Times New Roman" w:cs="Times New Roman"/>
          <w:i w:val="0"/>
          <w:sz w:val="26"/>
          <w:szCs w:val="26"/>
        </w:rPr>
        <w:t>hỉ số hoạt động logistics (LPI) đứng ở mứ</w:t>
      </w:r>
      <w:r w:rsidR="004A17EC">
        <w:rPr>
          <w:rStyle w:val="Emphasis"/>
          <w:rFonts w:ascii="Times New Roman" w:hAnsi="Times New Roman" w:cs="Times New Roman"/>
          <w:i w:val="0"/>
          <w:sz w:val="26"/>
          <w:szCs w:val="26"/>
        </w:rPr>
        <w:t>c 55</w:t>
      </w:r>
      <w:proofErr w:type="gramStart"/>
      <w:r w:rsidR="004A17EC">
        <w:rPr>
          <w:rStyle w:val="Emphasis"/>
          <w:rFonts w:ascii="Times New Roman" w:hAnsi="Times New Roman" w:cs="Times New Roman"/>
          <w:i w:val="0"/>
          <w:sz w:val="26"/>
          <w:szCs w:val="26"/>
        </w:rPr>
        <w:t>,9</w:t>
      </w:r>
      <w:proofErr w:type="gramEnd"/>
      <w:r w:rsidR="004A17EC" w:rsidRPr="00E331D7">
        <w:rPr>
          <w:rStyle w:val="Emphasis"/>
          <w:rFonts w:ascii="Times New Roman" w:hAnsi="Times New Roman" w:cs="Times New Roman"/>
          <w:i w:val="0"/>
          <w:sz w:val="26"/>
          <w:szCs w:val="26"/>
        </w:rPr>
        <w:t xml:space="preserve"> </w:t>
      </w:r>
      <w:r w:rsidR="004A17EC">
        <w:rPr>
          <w:rStyle w:val="Emphasis"/>
          <w:rFonts w:ascii="Times New Roman" w:hAnsi="Times New Roman" w:cs="Times New Roman"/>
          <w:i w:val="0"/>
          <w:sz w:val="26"/>
          <w:szCs w:val="26"/>
        </w:rPr>
        <w:t>trong tháng 11/2018, tăng so với mức 54,5 vào tháng trước đó</w:t>
      </w:r>
      <w:r w:rsidR="004A17EC" w:rsidRPr="00E331D7">
        <w:rPr>
          <w:rStyle w:val="Emphasis"/>
          <w:rFonts w:ascii="Times New Roman" w:hAnsi="Times New Roman" w:cs="Times New Roman"/>
          <w:i w:val="0"/>
          <w:sz w:val="26"/>
          <w:szCs w:val="26"/>
        </w:rPr>
        <w:t xml:space="preserve">. </w:t>
      </w:r>
      <w:proofErr w:type="gramStart"/>
      <w:r w:rsidR="004A17EC" w:rsidRPr="00E331D7">
        <w:rPr>
          <w:rStyle w:val="Emphasis"/>
          <w:rFonts w:ascii="Times New Roman" w:hAnsi="Times New Roman" w:cs="Times New Roman"/>
          <w:i w:val="0"/>
          <w:sz w:val="26"/>
          <w:szCs w:val="26"/>
        </w:rPr>
        <w:t>Chỉ số</w:t>
      </w:r>
      <w:r w:rsidR="004A17EC">
        <w:rPr>
          <w:rStyle w:val="Emphasis"/>
          <w:rFonts w:ascii="Times New Roman" w:hAnsi="Times New Roman" w:cs="Times New Roman"/>
          <w:i w:val="0"/>
          <w:sz w:val="26"/>
          <w:szCs w:val="26"/>
        </w:rPr>
        <w:t xml:space="preserve"> này ở mức</w:t>
      </w:r>
      <w:r w:rsidR="004A17EC" w:rsidRPr="00E331D7">
        <w:rPr>
          <w:rStyle w:val="Emphasis"/>
          <w:rFonts w:ascii="Times New Roman" w:hAnsi="Times New Roman" w:cs="Times New Roman"/>
          <w:i w:val="0"/>
          <w:sz w:val="26"/>
          <w:szCs w:val="26"/>
        </w:rPr>
        <w:t xml:space="preserve"> trên 50 cho </w:t>
      </w:r>
      <w:r w:rsidR="004A17EC">
        <w:rPr>
          <w:rStyle w:val="Emphasis"/>
          <w:rFonts w:ascii="Times New Roman" w:hAnsi="Times New Roman" w:cs="Times New Roman"/>
          <w:i w:val="0"/>
          <w:sz w:val="26"/>
          <w:szCs w:val="26"/>
        </w:rPr>
        <w:t>thấy sự mở rộng hơn của lĩnh vực logistics.</w:t>
      </w:r>
      <w:proofErr w:type="gramEnd"/>
      <w:r w:rsidR="004A17EC">
        <w:rPr>
          <w:rStyle w:val="Emphasis"/>
          <w:rFonts w:ascii="Times New Roman" w:hAnsi="Times New Roman" w:cs="Times New Roman"/>
          <w:i w:val="0"/>
          <w:sz w:val="26"/>
          <w:szCs w:val="26"/>
        </w:rPr>
        <w:t xml:space="preserve"> Như vậy sự gia tăng trong những tháng gần đây của chỉ số</w:t>
      </w:r>
      <w:r w:rsidR="00817D1B">
        <w:rPr>
          <w:rStyle w:val="Emphasis"/>
          <w:rFonts w:ascii="Times New Roman" w:hAnsi="Times New Roman" w:cs="Times New Roman"/>
          <w:i w:val="0"/>
          <w:sz w:val="26"/>
          <w:szCs w:val="26"/>
        </w:rPr>
        <w:t xml:space="preserve"> này cho thấy</w:t>
      </w:r>
      <w:r w:rsidR="004A17EC" w:rsidRPr="004A17EC">
        <w:rPr>
          <w:rStyle w:val="Emphasis"/>
          <w:rFonts w:ascii="Times New Roman" w:hAnsi="Times New Roman" w:cs="Times New Roman"/>
          <w:i w:val="0"/>
          <w:sz w:val="26"/>
          <w:szCs w:val="26"/>
        </w:rPr>
        <w:t xml:space="preserve">tăng trưởng của các hoạt động </w:t>
      </w:r>
      <w:r w:rsidR="004A17EC">
        <w:rPr>
          <w:rStyle w:val="Emphasis"/>
          <w:rFonts w:ascii="Times New Roman" w:hAnsi="Times New Roman" w:cs="Times New Roman"/>
          <w:i w:val="0"/>
          <w:sz w:val="26"/>
          <w:szCs w:val="26"/>
        </w:rPr>
        <w:t>logistics</w:t>
      </w:r>
      <w:r w:rsidR="004A17EC" w:rsidRPr="004A17EC">
        <w:rPr>
          <w:rStyle w:val="Emphasis"/>
          <w:rFonts w:ascii="Times New Roman" w:hAnsi="Times New Roman" w:cs="Times New Roman"/>
          <w:i w:val="0"/>
          <w:sz w:val="26"/>
          <w:szCs w:val="26"/>
        </w:rPr>
        <w:t xml:space="preserve"> trong </w:t>
      </w:r>
      <w:r w:rsidR="00817D1B">
        <w:rPr>
          <w:rStyle w:val="Emphasis"/>
          <w:rFonts w:ascii="Times New Roman" w:hAnsi="Times New Roman" w:cs="Times New Roman"/>
          <w:i w:val="0"/>
          <w:sz w:val="26"/>
          <w:szCs w:val="26"/>
        </w:rPr>
        <w:t>bối cảnh</w:t>
      </w:r>
      <w:r w:rsidR="004A17EC" w:rsidRPr="004A17EC">
        <w:rPr>
          <w:rStyle w:val="Emphasis"/>
          <w:rFonts w:ascii="Times New Roman" w:hAnsi="Times New Roman" w:cs="Times New Roman"/>
          <w:i w:val="0"/>
          <w:sz w:val="26"/>
          <w:szCs w:val="26"/>
        </w:rPr>
        <w:t xml:space="preserve"> vận tải than tăng và mùa cao điểm cho ngành bán lẻ trực tuyến Trung Quốc. Trong khi đó, chỉ số đơn đặt hàng mới tăng từ 54</w:t>
      </w:r>
      <w:proofErr w:type="gramStart"/>
      <w:r w:rsidR="004A17EC" w:rsidRPr="004A17EC">
        <w:rPr>
          <w:rStyle w:val="Emphasis"/>
          <w:rFonts w:ascii="Times New Roman" w:hAnsi="Times New Roman" w:cs="Times New Roman"/>
          <w:i w:val="0"/>
          <w:sz w:val="26"/>
          <w:szCs w:val="26"/>
        </w:rPr>
        <w:t>,0</w:t>
      </w:r>
      <w:proofErr w:type="gramEnd"/>
      <w:r w:rsidR="004A17EC" w:rsidRPr="004A17EC">
        <w:rPr>
          <w:rStyle w:val="Emphasis"/>
          <w:rFonts w:ascii="Times New Roman" w:hAnsi="Times New Roman" w:cs="Times New Roman"/>
          <w:i w:val="0"/>
          <w:sz w:val="26"/>
          <w:szCs w:val="26"/>
        </w:rPr>
        <w:t xml:space="preserve"> trong tháng 10 lên 55,1 trong tháng 11</w:t>
      </w:r>
      <w:r w:rsidR="002B6619">
        <w:rPr>
          <w:rStyle w:val="Emphasis"/>
          <w:rFonts w:ascii="Times New Roman" w:hAnsi="Times New Roman" w:cs="Times New Roman"/>
          <w:i w:val="0"/>
          <w:sz w:val="26"/>
          <w:szCs w:val="26"/>
        </w:rPr>
        <w:t>/2018</w:t>
      </w:r>
      <w:r w:rsidR="004A17EC" w:rsidRPr="004A17EC">
        <w:rPr>
          <w:rStyle w:val="Emphasis"/>
          <w:rFonts w:ascii="Times New Roman" w:hAnsi="Times New Roman" w:cs="Times New Roman"/>
          <w:i w:val="0"/>
          <w:sz w:val="26"/>
          <w:szCs w:val="26"/>
        </w:rPr>
        <w:t xml:space="preserve">, cho thấy các đơn đặt hàng mới cho các dịch vụ </w:t>
      </w:r>
      <w:r w:rsidR="002B6619">
        <w:rPr>
          <w:rStyle w:val="Emphasis"/>
          <w:rFonts w:ascii="Times New Roman" w:hAnsi="Times New Roman" w:cs="Times New Roman"/>
          <w:i w:val="0"/>
          <w:sz w:val="26"/>
          <w:szCs w:val="26"/>
        </w:rPr>
        <w:t>logistics</w:t>
      </w:r>
      <w:r w:rsidR="004A17EC" w:rsidRPr="004A17EC">
        <w:rPr>
          <w:rStyle w:val="Emphasis"/>
          <w:rFonts w:ascii="Times New Roman" w:hAnsi="Times New Roman" w:cs="Times New Roman"/>
          <w:i w:val="0"/>
          <w:sz w:val="26"/>
          <w:szCs w:val="26"/>
        </w:rPr>
        <w:t xml:space="preserve"> đã tăng với tốc độ nhanh hơn gần đây.</w:t>
      </w:r>
    </w:p>
    <w:p w:rsidR="005A32AF" w:rsidRDefault="004A17EC" w:rsidP="004A17EC">
      <w:pPr>
        <w:spacing w:line="312" w:lineRule="auto"/>
        <w:ind w:firstLine="720"/>
        <w:jc w:val="both"/>
        <w:rPr>
          <w:rStyle w:val="Emphasis"/>
          <w:rFonts w:ascii="Times New Roman" w:hAnsi="Times New Roman" w:cs="Times New Roman"/>
          <w:i w:val="0"/>
          <w:sz w:val="26"/>
          <w:szCs w:val="26"/>
        </w:rPr>
      </w:pPr>
      <w:r w:rsidRPr="004A17EC">
        <w:rPr>
          <w:rStyle w:val="Emphasis"/>
          <w:rFonts w:ascii="Times New Roman" w:hAnsi="Times New Roman" w:cs="Times New Roman"/>
          <w:i w:val="0"/>
          <w:sz w:val="26"/>
          <w:szCs w:val="26"/>
        </w:rPr>
        <w:t xml:space="preserve">Do kết quả của sự tăng trưởng nhanh hơn của các hoạt động </w:t>
      </w:r>
      <w:r w:rsidR="002B6619">
        <w:rPr>
          <w:rStyle w:val="Emphasis"/>
          <w:rFonts w:ascii="Times New Roman" w:hAnsi="Times New Roman" w:cs="Times New Roman"/>
          <w:i w:val="0"/>
          <w:sz w:val="26"/>
          <w:szCs w:val="26"/>
        </w:rPr>
        <w:t>logistics</w:t>
      </w:r>
      <w:r w:rsidRPr="004A17EC">
        <w:rPr>
          <w:rStyle w:val="Emphasis"/>
          <w:rFonts w:ascii="Times New Roman" w:hAnsi="Times New Roman" w:cs="Times New Roman"/>
          <w:i w:val="0"/>
          <w:sz w:val="26"/>
          <w:szCs w:val="26"/>
        </w:rPr>
        <w:t xml:space="preserve">, các doanh nghiệp </w:t>
      </w:r>
      <w:r w:rsidR="002B6619">
        <w:rPr>
          <w:rStyle w:val="Emphasis"/>
          <w:rFonts w:ascii="Times New Roman" w:hAnsi="Times New Roman" w:cs="Times New Roman"/>
          <w:i w:val="0"/>
          <w:sz w:val="26"/>
          <w:szCs w:val="26"/>
        </w:rPr>
        <w:t>logistics</w:t>
      </w:r>
      <w:r w:rsidRPr="004A17EC">
        <w:rPr>
          <w:rStyle w:val="Emphasis"/>
          <w:rFonts w:ascii="Times New Roman" w:hAnsi="Times New Roman" w:cs="Times New Roman"/>
          <w:i w:val="0"/>
          <w:sz w:val="26"/>
          <w:szCs w:val="26"/>
        </w:rPr>
        <w:t xml:space="preserve"> tăng cường trong thời gian gần đây: Chỉ số sử dụng năng lực vẫn ở trên mức 50 điểm quan trọng, đăng ký 56</w:t>
      </w:r>
      <w:proofErr w:type="gramStart"/>
      <w:r w:rsidRPr="004A17EC">
        <w:rPr>
          <w:rStyle w:val="Emphasis"/>
          <w:rFonts w:ascii="Times New Roman" w:hAnsi="Times New Roman" w:cs="Times New Roman"/>
          <w:i w:val="0"/>
          <w:sz w:val="26"/>
          <w:szCs w:val="26"/>
        </w:rPr>
        <w:t>,9</w:t>
      </w:r>
      <w:proofErr w:type="gramEnd"/>
      <w:r w:rsidRPr="004A17EC">
        <w:rPr>
          <w:rStyle w:val="Emphasis"/>
          <w:rFonts w:ascii="Times New Roman" w:hAnsi="Times New Roman" w:cs="Times New Roman"/>
          <w:i w:val="0"/>
          <w:sz w:val="26"/>
          <w:szCs w:val="26"/>
        </w:rPr>
        <w:t xml:space="preserve"> vào tháng 11</w:t>
      </w:r>
      <w:r w:rsidR="002B6619">
        <w:rPr>
          <w:rStyle w:val="Emphasis"/>
          <w:rFonts w:ascii="Times New Roman" w:hAnsi="Times New Roman" w:cs="Times New Roman"/>
          <w:i w:val="0"/>
          <w:sz w:val="26"/>
          <w:szCs w:val="26"/>
        </w:rPr>
        <w:t>/2018</w:t>
      </w:r>
      <w:r w:rsidRPr="004A17EC">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w:t>
      </w:r>
    </w:p>
    <w:p w:rsidR="00BD622A" w:rsidRDefault="00BD622A" w:rsidP="004A17EC">
      <w:pPr>
        <w:spacing w:line="312" w:lineRule="auto"/>
        <w:ind w:firstLine="720"/>
        <w:jc w:val="both"/>
        <w:rPr>
          <w:rStyle w:val="Emphasis"/>
          <w:rFonts w:ascii="Times New Roman" w:hAnsi="Times New Roman" w:cs="Times New Roman"/>
          <w:i w:val="0"/>
          <w:sz w:val="26"/>
          <w:szCs w:val="26"/>
        </w:rPr>
      </w:pPr>
      <w:r w:rsidRPr="00BD622A">
        <w:rPr>
          <w:rStyle w:val="Emphasis"/>
          <w:rFonts w:ascii="Times New Roman" w:hAnsi="Times New Roman" w:cs="Times New Roman"/>
          <w:i w:val="0"/>
          <w:sz w:val="26"/>
          <w:szCs w:val="26"/>
        </w:rPr>
        <w:t>Chỉ số vòng quay hàng tồn kho tăng 1</w:t>
      </w:r>
      <w:proofErr w:type="gramStart"/>
      <w:r w:rsidRPr="00BD622A">
        <w:rPr>
          <w:rStyle w:val="Emphasis"/>
          <w:rFonts w:ascii="Times New Roman" w:hAnsi="Times New Roman" w:cs="Times New Roman"/>
          <w:i w:val="0"/>
          <w:sz w:val="26"/>
          <w:szCs w:val="26"/>
        </w:rPr>
        <w:t>,9</w:t>
      </w:r>
      <w:proofErr w:type="gramEnd"/>
      <w:r w:rsidRPr="00BD622A">
        <w:rPr>
          <w:rStyle w:val="Emphasis"/>
          <w:rFonts w:ascii="Times New Roman" w:hAnsi="Times New Roman" w:cs="Times New Roman"/>
          <w:i w:val="0"/>
          <w:sz w:val="26"/>
          <w:szCs w:val="26"/>
        </w:rPr>
        <w:t xml:space="preserve"> điểm so với tháng trước lên 55,8 trong tháng 11</w:t>
      </w:r>
      <w:r w:rsidR="00817D1B">
        <w:rPr>
          <w:rStyle w:val="Emphasis"/>
          <w:rFonts w:ascii="Times New Roman" w:hAnsi="Times New Roman" w:cs="Times New Roman"/>
          <w:i w:val="0"/>
          <w:sz w:val="26"/>
          <w:szCs w:val="26"/>
        </w:rPr>
        <w:t>/2018</w:t>
      </w:r>
      <w:r w:rsidRPr="00BD622A">
        <w:rPr>
          <w:rStyle w:val="Emphasis"/>
          <w:rFonts w:ascii="Times New Roman" w:hAnsi="Times New Roman" w:cs="Times New Roman"/>
          <w:i w:val="0"/>
          <w:sz w:val="26"/>
          <w:szCs w:val="26"/>
        </w:rPr>
        <w:t xml:space="preserve">, trên 50, cho thấy </w:t>
      </w:r>
      <w:r w:rsidR="00817D1B">
        <w:rPr>
          <w:rStyle w:val="Emphasis"/>
          <w:rFonts w:ascii="Times New Roman" w:hAnsi="Times New Roman" w:cs="Times New Roman"/>
          <w:i w:val="0"/>
          <w:sz w:val="26"/>
          <w:szCs w:val="26"/>
        </w:rPr>
        <w:t>mức</w:t>
      </w:r>
      <w:r w:rsidRPr="00BD622A">
        <w:rPr>
          <w:rStyle w:val="Emphasis"/>
          <w:rFonts w:ascii="Times New Roman" w:hAnsi="Times New Roman" w:cs="Times New Roman"/>
          <w:i w:val="0"/>
          <w:sz w:val="26"/>
          <w:szCs w:val="26"/>
        </w:rPr>
        <w:t xml:space="preserve"> hàng tồn kho nhanh hơn. Trong khi đó, chỉ số hàng tồn kho trung bình tăng 2,7 điểm so với tháng trước lên 53,8 trong tháng 11</w:t>
      </w:r>
      <w:r w:rsidR="002B6619">
        <w:rPr>
          <w:rStyle w:val="Emphasis"/>
          <w:rFonts w:ascii="Times New Roman" w:hAnsi="Times New Roman" w:cs="Times New Roman"/>
          <w:i w:val="0"/>
          <w:sz w:val="26"/>
          <w:szCs w:val="26"/>
        </w:rPr>
        <w:t>/2018</w:t>
      </w:r>
      <w:r w:rsidRPr="00BD622A">
        <w:rPr>
          <w:rStyle w:val="Emphasis"/>
          <w:rFonts w:ascii="Times New Roman" w:hAnsi="Times New Roman" w:cs="Times New Roman"/>
          <w:i w:val="0"/>
          <w:sz w:val="26"/>
          <w:szCs w:val="26"/>
        </w:rPr>
        <w:t>, trên mức 50 điểm, cho thấy sự gia tăng hàng tồn kho trong kho trong tháng.</w:t>
      </w:r>
    </w:p>
    <w:p w:rsidR="00FE5014" w:rsidRPr="00FE5014" w:rsidRDefault="005A32AF" w:rsidP="00FE501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35681053"/>
      <w:r>
        <w:rPr>
          <w:rStyle w:val="Emphasis"/>
          <w:rFonts w:ascii="Times New Roman" w:hAnsi="Times New Roman" w:cs="Times New Roman"/>
          <w:b/>
          <w:sz w:val="26"/>
          <w:szCs w:val="26"/>
        </w:rPr>
        <w:t>Tình hình kinh tế, sản xuất, thương mại cố liên quan đến hoạt động logistics</w:t>
      </w:r>
      <w:bookmarkEnd w:id="3"/>
    </w:p>
    <w:p w:rsidR="00FE5014" w:rsidRPr="00BD622A" w:rsidRDefault="00FE5014" w:rsidP="00FE5014">
      <w:pPr>
        <w:spacing w:line="312" w:lineRule="auto"/>
        <w:ind w:firstLine="720"/>
        <w:jc w:val="both"/>
        <w:rPr>
          <w:rStyle w:val="Emphasis"/>
          <w:rFonts w:ascii="Times New Roman" w:hAnsi="Times New Roman" w:cs="Times New Roman"/>
          <w:i w:val="0"/>
          <w:sz w:val="26"/>
          <w:szCs w:val="26"/>
        </w:rPr>
      </w:pPr>
      <w:r w:rsidRPr="00BD622A">
        <w:rPr>
          <w:rStyle w:val="Emphasis"/>
          <w:rFonts w:ascii="Times New Roman" w:hAnsi="Times New Roman" w:cs="Times New Roman"/>
          <w:i w:val="0"/>
          <w:sz w:val="26"/>
          <w:szCs w:val="26"/>
        </w:rPr>
        <w:t xml:space="preserve">Năm 2018, Chính phủ Trung Quốc đã công bố thêm một loạt biện pháp kích thích kinh tế, trong đó có việc giảm đáng kể thuế nhập khẩu đối với 1.449 mặt hàng tiêu dùng và 1.585 sản phẩm công nghiệp, giảm bớt các hạn chế mang tính tiêu cực đối với đầu tư nước ngoài. </w:t>
      </w:r>
      <w:proofErr w:type="gramStart"/>
      <w:r w:rsidRPr="00BD622A">
        <w:rPr>
          <w:rStyle w:val="Emphasis"/>
          <w:rFonts w:ascii="Times New Roman" w:hAnsi="Times New Roman" w:cs="Times New Roman"/>
          <w:i w:val="0"/>
          <w:sz w:val="26"/>
          <w:szCs w:val="26"/>
        </w:rPr>
        <w:t xml:space="preserve">Bên cạnh đó, Trung Quốc cũng 4 lần hạ tỷ </w:t>
      </w:r>
      <w:r w:rsidRPr="00BD622A">
        <w:rPr>
          <w:rStyle w:val="Emphasis"/>
          <w:rFonts w:ascii="Times New Roman" w:hAnsi="Times New Roman" w:cs="Times New Roman"/>
          <w:i w:val="0"/>
          <w:sz w:val="26"/>
          <w:szCs w:val="26"/>
        </w:rPr>
        <w:lastRenderedPageBreak/>
        <w:t>lệ dự trữ bắt buộc trong năm vừa qua và mới đây nhất, ngày 04/01/2019 tiếp tục hạ thêm một lần nữa.</w:t>
      </w:r>
      <w:proofErr w:type="gramEnd"/>
      <w:r w:rsidRPr="00BD622A">
        <w:rPr>
          <w:rStyle w:val="Emphasis"/>
          <w:rFonts w:ascii="Times New Roman" w:hAnsi="Times New Roman" w:cs="Times New Roman"/>
          <w:i w:val="0"/>
          <w:sz w:val="26"/>
          <w:szCs w:val="26"/>
        </w:rPr>
        <w:t xml:space="preserve"> </w:t>
      </w:r>
      <w:proofErr w:type="gramStart"/>
      <w:r w:rsidRPr="00BD622A">
        <w:rPr>
          <w:rStyle w:val="Emphasis"/>
          <w:rFonts w:ascii="Times New Roman" w:hAnsi="Times New Roman" w:cs="Times New Roman"/>
          <w:i w:val="0"/>
          <w:sz w:val="26"/>
          <w:szCs w:val="26"/>
        </w:rPr>
        <w:t>Đồng thời, nước này nỗ lực cải cách để hợp lý hóa hệ thống luật lệ quy định, hoàn thiện và tối ưu hóa các dịch vụ, cũng như tăng cường cải cách để cải thiện môi trường kinh doanh để tạo thêm động lực cho tăng trưởng kinh tế.</w:t>
      </w:r>
      <w:proofErr w:type="gramEnd"/>
    </w:p>
    <w:p w:rsidR="00FE5014" w:rsidRPr="00BD622A" w:rsidRDefault="00FE5014" w:rsidP="00FE5014">
      <w:pPr>
        <w:spacing w:line="312" w:lineRule="auto"/>
        <w:ind w:firstLine="720"/>
        <w:jc w:val="both"/>
        <w:rPr>
          <w:rStyle w:val="Emphasis"/>
          <w:rFonts w:ascii="Times New Roman" w:hAnsi="Times New Roman" w:cs="Times New Roman"/>
          <w:i w:val="0"/>
          <w:sz w:val="26"/>
          <w:szCs w:val="26"/>
        </w:rPr>
      </w:pPr>
      <w:r w:rsidRPr="00BD622A">
        <w:rPr>
          <w:rStyle w:val="Emphasis"/>
          <w:rFonts w:ascii="Times New Roman" w:hAnsi="Times New Roman" w:cs="Times New Roman"/>
          <w:i w:val="0"/>
          <w:sz w:val="26"/>
          <w:szCs w:val="26"/>
        </w:rPr>
        <w:t xml:space="preserve">Ngày 25/12/2018, Trung Quốc tiếp tục mở rộng hơn cánh cửa thị trường cho các nhà đầu tư trong và ngoài nước thông qua việc công bố một danh sách hạn chế tiếp cận thị trường ngắn hơn trên phạm vi toàn quốc, theo đó danh sách hạn chế tiếp cận thị trường hiện tại chỉ gồm 151 mặt hàng và 581 qui tắc cụ thể, giảm lần lượt 177 mặt hàng và 288 qui tắc so với trước đó. Danh sách mới đưa ra các lĩnh vực, ngành và doanh nghiệp bị giới hạn đối với nhà đầu </w:t>
      </w:r>
      <w:proofErr w:type="gramStart"/>
      <w:r w:rsidRPr="00BD622A">
        <w:rPr>
          <w:rStyle w:val="Emphasis"/>
          <w:rFonts w:ascii="Times New Roman" w:hAnsi="Times New Roman" w:cs="Times New Roman"/>
          <w:i w:val="0"/>
          <w:sz w:val="26"/>
          <w:szCs w:val="26"/>
        </w:rPr>
        <w:t>tư</w:t>
      </w:r>
      <w:proofErr w:type="gramEnd"/>
      <w:r w:rsidRPr="00BD622A">
        <w:rPr>
          <w:rStyle w:val="Emphasis"/>
          <w:rFonts w:ascii="Times New Roman" w:hAnsi="Times New Roman" w:cs="Times New Roman"/>
          <w:i w:val="0"/>
          <w:sz w:val="26"/>
          <w:szCs w:val="26"/>
        </w:rPr>
        <w:t xml:space="preserve">. </w:t>
      </w:r>
      <w:proofErr w:type="gramStart"/>
      <w:r w:rsidRPr="00BD622A">
        <w:rPr>
          <w:rStyle w:val="Emphasis"/>
          <w:rFonts w:ascii="Times New Roman" w:hAnsi="Times New Roman" w:cs="Times New Roman"/>
          <w:i w:val="0"/>
          <w:sz w:val="26"/>
          <w:szCs w:val="26"/>
        </w:rPr>
        <w:t>Như vậy, những ngành không nằm trong danh sách hoàn toàn mở cửa cho tất cả thành phần tham gia thị trường.</w:t>
      </w:r>
      <w:proofErr w:type="gramEnd"/>
    </w:p>
    <w:p w:rsidR="00FE5014" w:rsidRPr="004A17EC" w:rsidRDefault="00FE5014" w:rsidP="00FE5014">
      <w:pPr>
        <w:spacing w:line="312" w:lineRule="auto"/>
        <w:ind w:firstLine="720"/>
        <w:jc w:val="both"/>
        <w:rPr>
          <w:rStyle w:val="Emphasis"/>
          <w:rFonts w:ascii="Times New Roman" w:hAnsi="Times New Roman" w:cs="Times New Roman"/>
          <w:i w:val="0"/>
          <w:sz w:val="26"/>
          <w:szCs w:val="26"/>
        </w:rPr>
      </w:pPr>
      <w:r w:rsidRPr="00BD622A">
        <w:rPr>
          <w:rStyle w:val="Emphasis"/>
          <w:rFonts w:ascii="Times New Roman" w:hAnsi="Times New Roman" w:cs="Times New Roman"/>
          <w:i w:val="0"/>
          <w:sz w:val="26"/>
          <w:szCs w:val="26"/>
        </w:rPr>
        <w:t xml:space="preserve">Ngày 24/12/2018, Bộ Tài chính Trung Quốc cho biết sẽ tiến hành điều chỉnh một số thuế quan xuất khẩu và nhập khẩu trong năm 2019 để thúc đẩy thương mại quốc tế khi nền kinh tế đang chậm lại. Theo đó, sẽ không đánh thuế xuất khẩu đổi với 94 mặt hàng trong năm 2019, gồm cả phân bón, quặng sắt, xỉ, nhựa than đá và bột gỗ. </w:t>
      </w:r>
      <w:proofErr w:type="gramStart"/>
      <w:r w:rsidRPr="00BD622A">
        <w:rPr>
          <w:rStyle w:val="Emphasis"/>
          <w:rFonts w:ascii="Times New Roman" w:hAnsi="Times New Roman" w:cs="Times New Roman"/>
          <w:i w:val="0"/>
          <w:sz w:val="26"/>
          <w:szCs w:val="26"/>
        </w:rPr>
        <w:t>Bắc Kinh cũng sẽ giảm hầu hết thuế quan tối huệ quốc đối với 289 sản phẩm công nghệ thông tin từ tháng 7/2019.</w:t>
      </w:r>
      <w:proofErr w:type="gramEnd"/>
      <w:r w:rsidRPr="00BD622A">
        <w:rPr>
          <w:rStyle w:val="Emphasis"/>
          <w:rFonts w:ascii="Times New Roman" w:hAnsi="Times New Roman" w:cs="Times New Roman"/>
          <w:i w:val="0"/>
          <w:sz w:val="26"/>
          <w:szCs w:val="26"/>
        </w:rPr>
        <w:t xml:space="preserve"> Đối với nhập khẩu, thuế nhập các loại bột ngũ cốc làm nguyên liệu thức ăn chăn nuôi thay thế, gồm khô dầu hạt cải, bã hạt bông vải, bột hướng dương và khô dầu cọ, được loại bỏ từ ngày 01/01/2019, cùng với nguyên liệu của một số sản phẩm dược.</w:t>
      </w:r>
    </w:p>
    <w:p w:rsidR="004A17EC" w:rsidRPr="004A17EC" w:rsidRDefault="004A17EC" w:rsidP="004A17EC">
      <w:pPr>
        <w:spacing w:line="312" w:lineRule="auto"/>
        <w:ind w:firstLine="720"/>
        <w:jc w:val="both"/>
        <w:rPr>
          <w:rStyle w:val="Emphasis"/>
          <w:rFonts w:ascii="Times New Roman" w:hAnsi="Times New Roman" w:cs="Times New Roman"/>
          <w:i w:val="0"/>
          <w:sz w:val="26"/>
          <w:szCs w:val="26"/>
        </w:rPr>
      </w:pPr>
      <w:proofErr w:type="gramStart"/>
      <w:r w:rsidRPr="004A17EC">
        <w:rPr>
          <w:rStyle w:val="Emphasis"/>
          <w:rFonts w:ascii="Times New Roman" w:hAnsi="Times New Roman" w:cs="Times New Roman"/>
          <w:i w:val="0"/>
          <w:sz w:val="26"/>
          <w:szCs w:val="26"/>
        </w:rPr>
        <w:t>Ba động lực chính của nền kinh tế là công nghiệp, đầu tư và tiêu dùng đều tăng trưởng thấp.</w:t>
      </w:r>
      <w:proofErr w:type="gramEnd"/>
      <w:r w:rsidRPr="004A17EC">
        <w:rPr>
          <w:rStyle w:val="Emphasis"/>
          <w:rFonts w:ascii="Times New Roman" w:hAnsi="Times New Roman" w:cs="Times New Roman"/>
          <w:i w:val="0"/>
          <w:sz w:val="26"/>
          <w:szCs w:val="26"/>
        </w:rPr>
        <w:t xml:space="preserve"> Ngân hàng thế giới ước tính tăng trưởng GDP của Trung Quốc năm 2018 chỉ đạt 6,5% so với mức 6,9% đã đạt được năm 2017.</w:t>
      </w:r>
    </w:p>
    <w:p w:rsidR="004A17EC" w:rsidRPr="004A17EC" w:rsidRDefault="004A17EC" w:rsidP="004A17EC">
      <w:pPr>
        <w:spacing w:line="312" w:lineRule="auto"/>
        <w:ind w:firstLine="720"/>
        <w:jc w:val="both"/>
        <w:rPr>
          <w:rStyle w:val="Emphasis"/>
          <w:rFonts w:ascii="Times New Roman" w:hAnsi="Times New Roman" w:cs="Times New Roman"/>
          <w:i w:val="0"/>
          <w:sz w:val="26"/>
          <w:szCs w:val="26"/>
        </w:rPr>
      </w:pPr>
      <w:r w:rsidRPr="004A17EC">
        <w:rPr>
          <w:rStyle w:val="Emphasis"/>
          <w:rFonts w:ascii="Times New Roman" w:hAnsi="Times New Roman" w:cs="Times New Roman"/>
          <w:i w:val="0"/>
          <w:sz w:val="26"/>
          <w:szCs w:val="26"/>
        </w:rPr>
        <w:t>CPI trung bình trong 11 tháng năm 2018 tăng 2,1% (so với cùng kỳ năm trước), nhiều hơn mức tăng 1,6% của cả năm 2017 do giá đậu tương, thịt lợn tăng mạnh và thời tiết diễn biến thất thường.</w:t>
      </w:r>
    </w:p>
    <w:p w:rsidR="004A17EC" w:rsidRPr="004A17EC" w:rsidRDefault="004A17EC" w:rsidP="004A17EC">
      <w:pPr>
        <w:spacing w:line="312" w:lineRule="auto"/>
        <w:ind w:firstLine="720"/>
        <w:jc w:val="both"/>
        <w:rPr>
          <w:rStyle w:val="Emphasis"/>
          <w:rFonts w:ascii="Times New Roman" w:hAnsi="Times New Roman" w:cs="Times New Roman"/>
          <w:i w:val="0"/>
          <w:sz w:val="26"/>
          <w:szCs w:val="26"/>
        </w:rPr>
      </w:pPr>
      <w:r w:rsidRPr="004A17EC">
        <w:rPr>
          <w:rStyle w:val="Emphasis"/>
          <w:rFonts w:ascii="Times New Roman" w:hAnsi="Times New Roman" w:cs="Times New Roman"/>
          <w:i w:val="0"/>
          <w:sz w:val="26"/>
          <w:szCs w:val="26"/>
        </w:rPr>
        <w:t>11 tháng năm 2018, xuất khẩu tăng 11</w:t>
      </w:r>
      <w:proofErr w:type="gramStart"/>
      <w:r w:rsidRPr="004A17EC">
        <w:rPr>
          <w:rStyle w:val="Emphasis"/>
          <w:rFonts w:ascii="Times New Roman" w:hAnsi="Times New Roman" w:cs="Times New Roman"/>
          <w:i w:val="0"/>
          <w:sz w:val="26"/>
          <w:szCs w:val="26"/>
        </w:rPr>
        <w:t>,8</w:t>
      </w:r>
      <w:proofErr w:type="gramEnd"/>
      <w:r w:rsidRPr="004A17EC">
        <w:rPr>
          <w:rStyle w:val="Emphasis"/>
          <w:rFonts w:ascii="Times New Roman" w:hAnsi="Times New Roman" w:cs="Times New Roman"/>
          <w:i w:val="0"/>
          <w:sz w:val="26"/>
          <w:szCs w:val="26"/>
        </w:rPr>
        <w:t>% (so với mức tăng của năm 2017 là 7,9%), nhập khẩu tăng 18,4% (so với mức tăng cả năm 2017 là 15,9%). Thặng dư thương mại trong 11 tháng năm 2018 giảm mạnh so với cùng kỳ năm trước, xuống 299</w:t>
      </w:r>
      <w:proofErr w:type="gramStart"/>
      <w:r w:rsidRPr="004A17EC">
        <w:rPr>
          <w:rStyle w:val="Emphasis"/>
          <w:rFonts w:ascii="Times New Roman" w:hAnsi="Times New Roman" w:cs="Times New Roman"/>
          <w:i w:val="0"/>
          <w:sz w:val="26"/>
          <w:szCs w:val="26"/>
        </w:rPr>
        <w:t>,6</w:t>
      </w:r>
      <w:proofErr w:type="gramEnd"/>
      <w:r w:rsidRPr="004A17EC">
        <w:rPr>
          <w:rStyle w:val="Emphasis"/>
          <w:rFonts w:ascii="Times New Roman" w:hAnsi="Times New Roman" w:cs="Times New Roman"/>
          <w:i w:val="0"/>
          <w:sz w:val="26"/>
          <w:szCs w:val="26"/>
        </w:rPr>
        <w:t xml:space="preserve"> tỷ USD, so với 422,5 tỷ USD của năm 2017. Các doanh nghiệp đã </w:t>
      </w:r>
      <w:r w:rsidRPr="004A17EC">
        <w:rPr>
          <w:rStyle w:val="Emphasis"/>
          <w:rFonts w:ascii="Times New Roman" w:hAnsi="Times New Roman" w:cs="Times New Roman"/>
          <w:i w:val="0"/>
          <w:sz w:val="26"/>
          <w:szCs w:val="26"/>
        </w:rPr>
        <w:lastRenderedPageBreak/>
        <w:t xml:space="preserve">đẩy mạnh xuất khẩu sang Mỹ trước khi các biện pháp áp thuế liên tiếp được áp đặt, nhưng giảm mạnh xuất khẩu sau khi các mức thuế mới có hiệu lực. </w:t>
      </w:r>
    </w:p>
    <w:p w:rsidR="004A17EC" w:rsidRDefault="004A17EC" w:rsidP="004A17EC">
      <w:pPr>
        <w:spacing w:line="312" w:lineRule="auto"/>
        <w:ind w:firstLine="720"/>
        <w:jc w:val="both"/>
        <w:rPr>
          <w:rStyle w:val="Emphasis"/>
          <w:rFonts w:ascii="Times New Roman" w:hAnsi="Times New Roman" w:cs="Times New Roman"/>
          <w:i w:val="0"/>
          <w:sz w:val="26"/>
          <w:szCs w:val="26"/>
        </w:rPr>
      </w:pPr>
      <w:r w:rsidRPr="004A17EC">
        <w:rPr>
          <w:rStyle w:val="Emphasis"/>
          <w:rFonts w:ascii="Times New Roman" w:hAnsi="Times New Roman" w:cs="Times New Roman"/>
          <w:i w:val="0"/>
          <w:sz w:val="26"/>
          <w:szCs w:val="26"/>
        </w:rPr>
        <w:t>Đầu tư tài sản cố định 11 tháng năm 2018 tăng 5</w:t>
      </w:r>
      <w:proofErr w:type="gramStart"/>
      <w:r w:rsidRPr="004A17EC">
        <w:rPr>
          <w:rStyle w:val="Emphasis"/>
          <w:rFonts w:ascii="Times New Roman" w:hAnsi="Times New Roman" w:cs="Times New Roman"/>
          <w:i w:val="0"/>
          <w:sz w:val="26"/>
          <w:szCs w:val="26"/>
        </w:rPr>
        <w:t>,9</w:t>
      </w:r>
      <w:proofErr w:type="gramEnd"/>
      <w:r w:rsidRPr="004A17EC">
        <w:rPr>
          <w:rStyle w:val="Emphasis"/>
          <w:rFonts w:ascii="Times New Roman" w:hAnsi="Times New Roman" w:cs="Times New Roman"/>
          <w:i w:val="0"/>
          <w:sz w:val="26"/>
          <w:szCs w:val="26"/>
        </w:rPr>
        <w:t>% so với cùng kỳ năm trước, chậm hơn mức tăng 7,2% của năm 2017. FDI trong 10 tháng năm 2018 tăng 6</w:t>
      </w:r>
      <w:proofErr w:type="gramStart"/>
      <w:r w:rsidRPr="004A17EC">
        <w:rPr>
          <w:rStyle w:val="Emphasis"/>
          <w:rFonts w:ascii="Times New Roman" w:hAnsi="Times New Roman" w:cs="Times New Roman"/>
          <w:i w:val="0"/>
          <w:sz w:val="26"/>
          <w:szCs w:val="26"/>
        </w:rPr>
        <w:t>,5</w:t>
      </w:r>
      <w:proofErr w:type="gramEnd"/>
      <w:r w:rsidRPr="004A17EC">
        <w:rPr>
          <w:rStyle w:val="Emphasis"/>
          <w:rFonts w:ascii="Times New Roman" w:hAnsi="Times New Roman" w:cs="Times New Roman"/>
          <w:i w:val="0"/>
          <w:sz w:val="26"/>
          <w:szCs w:val="26"/>
        </w:rPr>
        <w:t xml:space="preserve">% so với 4% của năm 2017. </w:t>
      </w:r>
    </w:p>
    <w:p w:rsidR="005777A7" w:rsidRPr="004A17EC" w:rsidRDefault="005777A7" w:rsidP="005777A7">
      <w:pPr>
        <w:spacing w:line="312" w:lineRule="auto"/>
        <w:ind w:firstLine="720"/>
        <w:jc w:val="both"/>
        <w:rPr>
          <w:rStyle w:val="Emphasis"/>
          <w:rFonts w:ascii="Times New Roman" w:hAnsi="Times New Roman" w:cs="Times New Roman"/>
          <w:i w:val="0"/>
          <w:sz w:val="26"/>
          <w:szCs w:val="26"/>
        </w:rPr>
      </w:pPr>
      <w:r w:rsidRPr="00BD622A">
        <w:rPr>
          <w:rStyle w:val="Emphasis"/>
          <w:rFonts w:ascii="Times New Roman" w:hAnsi="Times New Roman" w:cs="Times New Roman"/>
          <w:i w:val="0"/>
          <w:sz w:val="26"/>
          <w:szCs w:val="26"/>
        </w:rPr>
        <w:t>Đồng Nhân dân tệ (NDT) đã giảm 5</w:t>
      </w:r>
      <w:proofErr w:type="gramStart"/>
      <w:r w:rsidRPr="00BD622A">
        <w:rPr>
          <w:rStyle w:val="Emphasis"/>
          <w:rFonts w:ascii="Times New Roman" w:hAnsi="Times New Roman" w:cs="Times New Roman"/>
          <w:i w:val="0"/>
          <w:sz w:val="26"/>
          <w:szCs w:val="26"/>
        </w:rPr>
        <w:t>,6</w:t>
      </w:r>
      <w:proofErr w:type="gramEnd"/>
      <w:r w:rsidRPr="00BD622A">
        <w:rPr>
          <w:rStyle w:val="Emphasis"/>
          <w:rFonts w:ascii="Times New Roman" w:hAnsi="Times New Roman" w:cs="Times New Roman"/>
          <w:i w:val="0"/>
          <w:sz w:val="26"/>
          <w:szCs w:val="26"/>
        </w:rPr>
        <w:t xml:space="preserve">% trong vòng một năm qua so với đồng Đô la Mỹ, do áp lực của căng thẳng thương mại với Mỹ và kinh tế Trung Quốc giảm tốc. Nợ nước ngoài của Trung Quốc không ngừng tăng, lên tới 1.900 tỷ USD vào cuối tháng 9/2018 (cao hơn 2,3% so với 3 tháng trước đó) do tín dụng thương mại, các khoản ứng trước và trái phiếu tăng. </w:t>
      </w:r>
    </w:p>
    <w:p w:rsidR="004A17EC" w:rsidRDefault="004A17EC" w:rsidP="004A17EC">
      <w:pPr>
        <w:spacing w:line="312" w:lineRule="auto"/>
        <w:ind w:firstLine="720"/>
        <w:jc w:val="both"/>
        <w:rPr>
          <w:rStyle w:val="Emphasis"/>
          <w:rFonts w:ascii="Times New Roman" w:hAnsi="Times New Roman" w:cs="Times New Roman"/>
          <w:i w:val="0"/>
          <w:sz w:val="26"/>
          <w:szCs w:val="26"/>
        </w:rPr>
      </w:pPr>
      <w:r w:rsidRPr="004A17EC">
        <w:rPr>
          <w:rStyle w:val="Emphasis"/>
          <w:rFonts w:ascii="Times New Roman" w:hAnsi="Times New Roman" w:cs="Times New Roman"/>
          <w:i w:val="0"/>
          <w:sz w:val="26"/>
          <w:szCs w:val="26"/>
        </w:rPr>
        <w:t xml:space="preserve">Sản xuất tiếp tục tăng trưởng nhưng có dấu hiệu chậm lại. Chỉ số PMI sản xuất duy trì trên 51 điểm suốt 8 tháng đầu năm 2018, nhưng giảm nhanh trong những tháng tiếp theo và đến tháng 12/2018 chỉ còn 49,7 (dưới ngưỡng 50 cho thấy sự suy giảm sản xuất và báo hiệu sự thu hẹp về hoạt động kinh tế). </w:t>
      </w:r>
      <w:proofErr w:type="gramStart"/>
      <w:r w:rsidRPr="004A17EC">
        <w:rPr>
          <w:rStyle w:val="Emphasis"/>
          <w:rFonts w:ascii="Times New Roman" w:hAnsi="Times New Roman" w:cs="Times New Roman"/>
          <w:i w:val="0"/>
          <w:sz w:val="26"/>
          <w:szCs w:val="26"/>
        </w:rPr>
        <w:t>Đây là lần suy giảm đầu tiên kể từ tháng 5/2017.</w:t>
      </w:r>
      <w:proofErr w:type="gramEnd"/>
      <w:r w:rsidRPr="004A17EC">
        <w:rPr>
          <w:rStyle w:val="Emphasis"/>
          <w:rFonts w:ascii="Times New Roman" w:hAnsi="Times New Roman" w:cs="Times New Roman"/>
          <w:i w:val="0"/>
          <w:sz w:val="26"/>
          <w:szCs w:val="26"/>
        </w:rPr>
        <w:t xml:space="preserve"> </w:t>
      </w:r>
      <w:proofErr w:type="gramStart"/>
      <w:r w:rsidRPr="004A17EC">
        <w:rPr>
          <w:rStyle w:val="Emphasis"/>
          <w:rFonts w:ascii="Times New Roman" w:hAnsi="Times New Roman" w:cs="Times New Roman"/>
          <w:i w:val="0"/>
          <w:sz w:val="26"/>
          <w:szCs w:val="26"/>
        </w:rPr>
        <w:t>Số đơn đặt hàng mới cũng giảm lần đầu tiên kể từ tháng 6/2016, trong khi hoạt động kinh doanh xuất khẩu mới giảm tháng thứ 9.</w:t>
      </w:r>
      <w:proofErr w:type="gramEnd"/>
      <w:r w:rsidRPr="004A17EC">
        <w:rPr>
          <w:rStyle w:val="Emphasis"/>
          <w:rFonts w:ascii="Times New Roman" w:hAnsi="Times New Roman" w:cs="Times New Roman"/>
          <w:i w:val="0"/>
          <w:sz w:val="26"/>
          <w:szCs w:val="26"/>
        </w:rPr>
        <w:t xml:space="preserve"> </w:t>
      </w:r>
    </w:p>
    <w:p w:rsidR="005777A7" w:rsidRPr="005777A7" w:rsidRDefault="005777A7" w:rsidP="00FE5014">
      <w:pPr>
        <w:spacing w:line="312" w:lineRule="auto"/>
        <w:jc w:val="center"/>
        <w:rPr>
          <w:rFonts w:ascii="Times New Roman" w:hAnsi="Times New Roman" w:cs="Times New Roman"/>
          <w:b/>
          <w:sz w:val="26"/>
          <w:szCs w:val="26"/>
        </w:rPr>
      </w:pPr>
      <w:bookmarkStart w:id="4" w:name="_Toc535681063"/>
      <w:r w:rsidRPr="005777A7">
        <w:rPr>
          <w:rFonts w:ascii="Times New Roman" w:hAnsi="Times New Roman" w:cs="Times New Roman"/>
          <w:b/>
          <w:sz w:val="26"/>
          <w:szCs w:val="26"/>
        </w:rPr>
        <w:t xml:space="preserve">Hình </w:t>
      </w:r>
      <w:r w:rsidRPr="005777A7">
        <w:rPr>
          <w:rFonts w:ascii="Times New Roman" w:hAnsi="Times New Roman" w:cs="Times New Roman"/>
          <w:b/>
          <w:sz w:val="26"/>
          <w:szCs w:val="26"/>
        </w:rPr>
        <w:fldChar w:fldCharType="begin"/>
      </w:r>
      <w:r w:rsidRPr="005777A7">
        <w:rPr>
          <w:rFonts w:ascii="Times New Roman" w:hAnsi="Times New Roman" w:cs="Times New Roman"/>
          <w:b/>
          <w:sz w:val="26"/>
          <w:szCs w:val="26"/>
        </w:rPr>
        <w:instrText xml:space="preserve"> SEQ Hình \* ARABIC </w:instrText>
      </w:r>
      <w:r w:rsidRPr="005777A7">
        <w:rPr>
          <w:rFonts w:ascii="Times New Roman" w:hAnsi="Times New Roman" w:cs="Times New Roman"/>
          <w:b/>
          <w:sz w:val="26"/>
          <w:szCs w:val="26"/>
        </w:rPr>
        <w:fldChar w:fldCharType="separate"/>
      </w:r>
      <w:r w:rsidRPr="005777A7">
        <w:rPr>
          <w:rFonts w:ascii="Times New Roman" w:hAnsi="Times New Roman" w:cs="Times New Roman"/>
          <w:b/>
          <w:noProof/>
          <w:sz w:val="26"/>
          <w:szCs w:val="26"/>
        </w:rPr>
        <w:t>1</w:t>
      </w:r>
      <w:r w:rsidRPr="005777A7">
        <w:rPr>
          <w:rFonts w:ascii="Times New Roman" w:hAnsi="Times New Roman" w:cs="Times New Roman"/>
          <w:b/>
          <w:sz w:val="26"/>
          <w:szCs w:val="26"/>
        </w:rPr>
        <w:fldChar w:fldCharType="end"/>
      </w:r>
      <w:r w:rsidRPr="005777A7">
        <w:rPr>
          <w:rFonts w:ascii="Times New Roman" w:hAnsi="Times New Roman" w:cs="Times New Roman"/>
          <w:b/>
          <w:sz w:val="26"/>
          <w:szCs w:val="26"/>
        </w:rPr>
        <w:t xml:space="preserve">: </w:t>
      </w:r>
      <w:r>
        <w:rPr>
          <w:rFonts w:ascii="Times New Roman" w:hAnsi="Times New Roman" w:cs="Times New Roman"/>
          <w:b/>
          <w:sz w:val="26"/>
          <w:szCs w:val="26"/>
        </w:rPr>
        <w:t>C</w:t>
      </w:r>
      <w:r w:rsidRPr="005777A7">
        <w:rPr>
          <w:rFonts w:ascii="Times New Roman" w:hAnsi="Times New Roman" w:cs="Times New Roman"/>
          <w:b/>
          <w:sz w:val="26"/>
          <w:szCs w:val="26"/>
        </w:rPr>
        <w:t>hỉ số</w:t>
      </w:r>
      <w:r>
        <w:rPr>
          <w:rFonts w:ascii="Times New Roman" w:hAnsi="Times New Roman" w:cs="Times New Roman"/>
          <w:b/>
          <w:sz w:val="26"/>
          <w:szCs w:val="26"/>
        </w:rPr>
        <w:t xml:space="preserve"> quản</w:t>
      </w:r>
      <w:r w:rsidRPr="005777A7">
        <w:rPr>
          <w:rFonts w:ascii="Times New Roman" w:hAnsi="Times New Roman" w:cs="Times New Roman"/>
          <w:b/>
          <w:sz w:val="26"/>
          <w:szCs w:val="26"/>
        </w:rPr>
        <w:t xml:space="preserve"> lý sức mua của Trung Quốc (đã điều chỉnh </w:t>
      </w:r>
      <w:proofErr w:type="gramStart"/>
      <w:r w:rsidRPr="005777A7">
        <w:rPr>
          <w:rFonts w:ascii="Times New Roman" w:hAnsi="Times New Roman" w:cs="Times New Roman"/>
          <w:b/>
          <w:sz w:val="26"/>
          <w:szCs w:val="26"/>
        </w:rPr>
        <w:t>theo</w:t>
      </w:r>
      <w:proofErr w:type="gramEnd"/>
      <w:r w:rsidRPr="005777A7">
        <w:rPr>
          <w:rFonts w:ascii="Times New Roman" w:hAnsi="Times New Roman" w:cs="Times New Roman"/>
          <w:b/>
          <w:sz w:val="26"/>
          <w:szCs w:val="26"/>
        </w:rPr>
        <w:t xml:space="preserve"> mùa)</w:t>
      </w:r>
      <w:bookmarkEnd w:id="4"/>
    </w:p>
    <w:p w:rsidR="004A17EC" w:rsidRDefault="004A17EC" w:rsidP="004A17EC">
      <w:pPr>
        <w:spacing w:line="312" w:lineRule="auto"/>
        <w:ind w:firstLine="720"/>
        <w:jc w:val="both"/>
        <w:rPr>
          <w:rStyle w:val="Emphasis"/>
          <w:rFonts w:ascii="Times New Roman" w:hAnsi="Times New Roman" w:cs="Times New Roman"/>
          <w:i w:val="0"/>
          <w:sz w:val="26"/>
          <w:szCs w:val="26"/>
        </w:rPr>
      </w:pPr>
      <w:r>
        <w:rPr>
          <w:noProof/>
        </w:rPr>
        <w:drawing>
          <wp:inline distT="0" distB="0" distL="0" distR="0" wp14:anchorId="4A50BCA9" wp14:editId="16626DB3">
            <wp:extent cx="5521111" cy="2567353"/>
            <wp:effectExtent l="0" t="0" r="0" b="0"/>
            <wp:docPr id="2" name="Picture 2" descr="http://www.stats.gov.cn/english/pressrelease/201901/W020190103498681720666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s.gov.cn/english/pressrelease/201901/W020190103498681720666_r7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89" t="8291"/>
                    <a:stretch/>
                  </pic:blipFill>
                  <pic:spPr bwMode="auto">
                    <a:xfrm>
                      <a:off x="0" y="0"/>
                      <a:ext cx="5521513" cy="2567540"/>
                    </a:xfrm>
                    <a:prstGeom prst="rect">
                      <a:avLst/>
                    </a:prstGeom>
                    <a:noFill/>
                    <a:ln>
                      <a:noFill/>
                    </a:ln>
                    <a:extLst>
                      <a:ext uri="{53640926-AAD7-44D8-BBD7-CCE9431645EC}">
                        <a14:shadowObscured xmlns:a14="http://schemas.microsoft.com/office/drawing/2010/main"/>
                      </a:ext>
                    </a:extLst>
                  </pic:spPr>
                </pic:pic>
              </a:graphicData>
            </a:graphic>
          </wp:inline>
        </w:drawing>
      </w:r>
    </w:p>
    <w:p w:rsidR="00FE5014" w:rsidRPr="00FE5014" w:rsidRDefault="00FE5014" w:rsidP="00FE5014">
      <w:pPr>
        <w:spacing w:line="312" w:lineRule="auto"/>
        <w:ind w:firstLine="720"/>
        <w:jc w:val="center"/>
        <w:rPr>
          <w:rStyle w:val="Emphasis"/>
          <w:rFonts w:ascii="Times New Roman" w:hAnsi="Times New Roman" w:cs="Times New Roman"/>
          <w:sz w:val="26"/>
          <w:szCs w:val="26"/>
        </w:rPr>
      </w:pPr>
      <w:r w:rsidRPr="00FE5014">
        <w:rPr>
          <w:rStyle w:val="Emphasis"/>
          <w:rFonts w:ascii="Times New Roman" w:hAnsi="Times New Roman" w:cs="Times New Roman"/>
          <w:sz w:val="26"/>
          <w:szCs w:val="26"/>
        </w:rPr>
        <w:t xml:space="preserve">Nguồn: </w:t>
      </w:r>
      <w:r>
        <w:rPr>
          <w:rStyle w:val="Emphasis"/>
          <w:rFonts w:ascii="Times New Roman" w:hAnsi="Times New Roman" w:cs="Times New Roman"/>
          <w:sz w:val="26"/>
          <w:szCs w:val="26"/>
        </w:rPr>
        <w:t>Liên đoàn logistics và mua hàng của Trung Quốc</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5" w:name="_Toc535681054"/>
      <w:r w:rsidRPr="00015C54">
        <w:rPr>
          <w:rFonts w:ascii="Times New Roman" w:hAnsi="Times New Roman" w:cs="Times New Roman"/>
          <w:b/>
          <w:sz w:val="26"/>
          <w:szCs w:val="26"/>
        </w:rPr>
        <w:lastRenderedPageBreak/>
        <w:t>Hoạt động vận tải</w:t>
      </w:r>
      <w:bookmarkEnd w:id="5"/>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35681055"/>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6"/>
    </w:p>
    <w:p w:rsidR="0054494F" w:rsidRDefault="0007459B" w:rsidP="0054494F">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Quốc, trong</w:t>
      </w:r>
      <w:r w:rsidR="003334FF">
        <w:rPr>
          <w:rStyle w:val="Emphasis"/>
          <w:rFonts w:ascii="Times New Roman" w:hAnsi="Times New Roman" w:cs="Times New Roman"/>
          <w:i w:val="0"/>
          <w:sz w:val="26"/>
          <w:szCs w:val="26"/>
        </w:rPr>
        <w:t xml:space="preserve"> tháng </w:t>
      </w:r>
      <w:r w:rsidR="0054494F">
        <w:rPr>
          <w:rStyle w:val="Emphasis"/>
          <w:rFonts w:ascii="Times New Roman" w:hAnsi="Times New Roman" w:cs="Times New Roman"/>
          <w:i w:val="0"/>
          <w:sz w:val="26"/>
          <w:szCs w:val="26"/>
        </w:rPr>
        <w:t>11</w:t>
      </w:r>
      <w:r w:rsidR="00ED3871">
        <w:rPr>
          <w:rStyle w:val="Emphasis"/>
          <w:rFonts w:ascii="Times New Roman" w:hAnsi="Times New Roman" w:cs="Times New Roman"/>
          <w:i w:val="0"/>
          <w:sz w:val="26"/>
          <w:szCs w:val="26"/>
        </w:rPr>
        <w:t>/2018,</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1033C8">
        <w:rPr>
          <w:rStyle w:val="Emphasis"/>
          <w:rFonts w:ascii="Times New Roman" w:hAnsi="Times New Roman" w:cs="Times New Roman"/>
          <w:i w:val="0"/>
          <w:sz w:val="26"/>
          <w:szCs w:val="26"/>
        </w:rPr>
        <w:t xml:space="preserve"> trên 4,</w:t>
      </w:r>
      <w:r w:rsidR="0054494F">
        <w:rPr>
          <w:rStyle w:val="Emphasis"/>
          <w:rFonts w:ascii="Times New Roman" w:hAnsi="Times New Roman" w:cs="Times New Roman"/>
          <w:i w:val="0"/>
          <w:sz w:val="26"/>
          <w:szCs w:val="26"/>
        </w:rPr>
        <w:t>7</w:t>
      </w:r>
      <w:r w:rsidR="0035362C">
        <w:rPr>
          <w:rStyle w:val="Emphasis"/>
          <w:rFonts w:ascii="Times New Roman" w:hAnsi="Times New Roman" w:cs="Times New Roman"/>
          <w:i w:val="0"/>
          <w:sz w:val="26"/>
          <w:szCs w:val="26"/>
        </w:rPr>
        <w:t>2</w:t>
      </w:r>
      <w:r w:rsidR="001033C8">
        <w:rPr>
          <w:rStyle w:val="Emphasis"/>
          <w:rFonts w:ascii="Times New Roman" w:hAnsi="Times New Roman" w:cs="Times New Roman"/>
          <w:i w:val="0"/>
          <w:sz w:val="26"/>
          <w:szCs w:val="26"/>
        </w:rPr>
        <w:t xml:space="preserve"> tỷ tấ</w:t>
      </w:r>
      <w:r w:rsidR="0054494F">
        <w:rPr>
          <w:rStyle w:val="Emphasis"/>
          <w:rFonts w:ascii="Times New Roman" w:hAnsi="Times New Roman" w:cs="Times New Roman"/>
          <w:i w:val="0"/>
          <w:sz w:val="26"/>
          <w:szCs w:val="26"/>
        </w:rPr>
        <w:t>n, tăng 6,5% so với cùng kỳ năm trước</w:t>
      </w:r>
      <w:r w:rsidR="00ED3871">
        <w:rPr>
          <w:rStyle w:val="Emphasis"/>
          <w:rFonts w:ascii="Times New Roman" w:hAnsi="Times New Roman" w:cs="Times New Roman"/>
          <w:i w:val="0"/>
          <w:sz w:val="26"/>
          <w:szCs w:val="26"/>
        </w:rPr>
        <w:t>. Tính chung</w:t>
      </w:r>
      <w:r w:rsidR="0054494F">
        <w:rPr>
          <w:rStyle w:val="Emphasis"/>
          <w:rFonts w:ascii="Times New Roman" w:hAnsi="Times New Roman" w:cs="Times New Roman"/>
          <w:i w:val="0"/>
          <w:sz w:val="26"/>
          <w:szCs w:val="26"/>
        </w:rPr>
        <w:t xml:space="preserve"> 11</w:t>
      </w:r>
      <w:r w:rsidR="00632796">
        <w:rPr>
          <w:rStyle w:val="Emphasis"/>
          <w:rFonts w:ascii="Times New Roman" w:hAnsi="Times New Roman" w:cs="Times New Roman"/>
          <w:i w:val="0"/>
          <w:sz w:val="26"/>
          <w:szCs w:val="26"/>
        </w:rPr>
        <w:t xml:space="preserve"> </w:t>
      </w:r>
      <w:r w:rsidR="0037482B">
        <w:rPr>
          <w:rStyle w:val="Emphasis"/>
          <w:rFonts w:ascii="Times New Roman" w:hAnsi="Times New Roman" w:cs="Times New Roman"/>
          <w:i w:val="0"/>
          <w:sz w:val="26"/>
          <w:szCs w:val="26"/>
        </w:rPr>
        <w:t xml:space="preserve">tháng đầu năm 2018, tổng lượng hàng hóa vận chuyển </w:t>
      </w:r>
      <w:r w:rsidR="00632796">
        <w:rPr>
          <w:rStyle w:val="Emphasis"/>
          <w:rFonts w:ascii="Times New Roman" w:hAnsi="Times New Roman" w:cs="Times New Roman"/>
          <w:i w:val="0"/>
          <w:sz w:val="26"/>
          <w:szCs w:val="26"/>
        </w:rPr>
        <w:t>đạ</w:t>
      </w:r>
      <w:r w:rsidR="00CE0298">
        <w:rPr>
          <w:rStyle w:val="Emphasis"/>
          <w:rFonts w:ascii="Times New Roman" w:hAnsi="Times New Roman" w:cs="Times New Roman"/>
          <w:i w:val="0"/>
          <w:sz w:val="26"/>
          <w:szCs w:val="26"/>
        </w:rPr>
        <w:t xml:space="preserve">t </w:t>
      </w:r>
      <w:r w:rsidR="001033C8">
        <w:rPr>
          <w:rStyle w:val="Emphasis"/>
          <w:rFonts w:ascii="Times New Roman" w:hAnsi="Times New Roman" w:cs="Times New Roman"/>
          <w:i w:val="0"/>
          <w:sz w:val="26"/>
          <w:szCs w:val="26"/>
        </w:rPr>
        <w:t xml:space="preserve">trên </w:t>
      </w:r>
      <w:r w:rsidR="0054494F">
        <w:rPr>
          <w:rStyle w:val="Emphasis"/>
          <w:rFonts w:ascii="Times New Roman" w:hAnsi="Times New Roman" w:cs="Times New Roman"/>
          <w:i w:val="0"/>
          <w:sz w:val="26"/>
          <w:szCs w:val="26"/>
        </w:rPr>
        <w:t xml:space="preserve">46 </w:t>
      </w:r>
      <w:r w:rsidR="001033C8">
        <w:rPr>
          <w:rStyle w:val="Emphasis"/>
          <w:rFonts w:ascii="Times New Roman" w:hAnsi="Times New Roman" w:cs="Times New Roman"/>
          <w:i w:val="0"/>
          <w:sz w:val="26"/>
          <w:szCs w:val="26"/>
        </w:rPr>
        <w:t xml:space="preserve">tỷ </w:t>
      </w:r>
      <w:r w:rsidR="003334FF">
        <w:rPr>
          <w:rStyle w:val="Emphasis"/>
          <w:rFonts w:ascii="Times New Roman" w:hAnsi="Times New Roman" w:cs="Times New Roman"/>
          <w:i w:val="0"/>
          <w:sz w:val="26"/>
          <w:szCs w:val="26"/>
        </w:rPr>
        <w:t>tấn</w:t>
      </w:r>
      <w:r w:rsidR="00ED3871">
        <w:rPr>
          <w:rStyle w:val="Emphasis"/>
          <w:rFonts w:ascii="Times New Roman" w:hAnsi="Times New Roman" w:cs="Times New Roman"/>
          <w:i w:val="0"/>
          <w:sz w:val="26"/>
          <w:szCs w:val="26"/>
        </w:rPr>
        <w:t xml:space="preserve">, tăng </w:t>
      </w:r>
      <w:r w:rsidR="0010282C">
        <w:rPr>
          <w:rStyle w:val="Emphasis"/>
          <w:rFonts w:ascii="Times New Roman" w:hAnsi="Times New Roman" w:cs="Times New Roman"/>
          <w:i w:val="0"/>
          <w:sz w:val="26"/>
          <w:szCs w:val="26"/>
        </w:rPr>
        <w:t>7</w:t>
      </w:r>
      <w:proofErr w:type="gramStart"/>
      <w:r w:rsidR="0054494F">
        <w:rPr>
          <w:rStyle w:val="Emphasis"/>
          <w:rFonts w:ascii="Times New Roman" w:hAnsi="Times New Roman" w:cs="Times New Roman"/>
          <w:i w:val="0"/>
          <w:sz w:val="26"/>
          <w:szCs w:val="26"/>
        </w:rPr>
        <w:t>,2</w:t>
      </w:r>
      <w:proofErr w:type="gramEnd"/>
      <w:r w:rsidR="007F37BD">
        <w:rPr>
          <w:rStyle w:val="Emphasis"/>
          <w:rFonts w:ascii="Times New Roman" w:hAnsi="Times New Roman" w:cs="Times New Roman"/>
          <w:i w:val="0"/>
          <w:sz w:val="26"/>
          <w:szCs w:val="26"/>
        </w:rPr>
        <w:t xml:space="preserve">% so với </w:t>
      </w:r>
      <w:r w:rsidR="0035362C">
        <w:rPr>
          <w:rStyle w:val="Emphasis"/>
          <w:rFonts w:ascii="Times New Roman" w:hAnsi="Times New Roman" w:cs="Times New Roman"/>
          <w:i w:val="0"/>
          <w:sz w:val="26"/>
          <w:szCs w:val="26"/>
        </w:rPr>
        <w:t>10</w:t>
      </w:r>
      <w:r w:rsidR="003334FF">
        <w:rPr>
          <w:rStyle w:val="Emphasis"/>
          <w:rFonts w:ascii="Times New Roman" w:hAnsi="Times New Roman" w:cs="Times New Roman"/>
          <w:i w:val="0"/>
          <w:sz w:val="26"/>
          <w:szCs w:val="26"/>
        </w:rPr>
        <w:t xml:space="preserve"> tháng đầu năm 2017</w:t>
      </w:r>
      <w:r w:rsidR="007F37BD">
        <w:rPr>
          <w:rStyle w:val="Emphasis"/>
          <w:rFonts w:ascii="Times New Roman" w:hAnsi="Times New Roman" w:cs="Times New Roman"/>
          <w:i w:val="0"/>
          <w:sz w:val="26"/>
          <w:szCs w:val="26"/>
        </w:rPr>
        <w:t xml:space="preserve">. </w:t>
      </w:r>
    </w:p>
    <w:p w:rsidR="000E2771" w:rsidRDefault="0054494F" w:rsidP="0054494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Trừ vận chuyển bằng đường không dân dụng giảm 0,8%, v</w:t>
      </w:r>
      <w:r w:rsidR="00674070">
        <w:rPr>
          <w:rStyle w:val="Emphasis"/>
          <w:rFonts w:ascii="Times New Roman" w:hAnsi="Times New Roman" w:cs="Times New Roman"/>
          <w:i w:val="0"/>
          <w:sz w:val="26"/>
          <w:szCs w:val="26"/>
        </w:rPr>
        <w:t xml:space="preserve">ận chuyển hàng hóa bằng các phương thức vận tải trong </w:t>
      </w:r>
      <w:r>
        <w:rPr>
          <w:rStyle w:val="Emphasis"/>
          <w:rFonts w:ascii="Times New Roman" w:hAnsi="Times New Roman" w:cs="Times New Roman"/>
          <w:i w:val="0"/>
          <w:sz w:val="26"/>
          <w:szCs w:val="26"/>
        </w:rPr>
        <w:t xml:space="preserve">11 </w:t>
      </w:r>
      <w:r w:rsidR="00674070">
        <w:rPr>
          <w:rStyle w:val="Emphasis"/>
          <w:rFonts w:ascii="Times New Roman" w:hAnsi="Times New Roman" w:cs="Times New Roman"/>
          <w:i w:val="0"/>
          <w:sz w:val="26"/>
          <w:szCs w:val="26"/>
        </w:rPr>
        <w:t>tháng đầu năm 2018 đều tăng so với cùng kỳ năm trước, trong đó tăng mạnh nhất là đường sắ</w:t>
      </w:r>
      <w:r>
        <w:rPr>
          <w:rStyle w:val="Emphasis"/>
          <w:rFonts w:ascii="Times New Roman" w:hAnsi="Times New Roman" w:cs="Times New Roman"/>
          <w:i w:val="0"/>
          <w:sz w:val="26"/>
          <w:szCs w:val="26"/>
        </w:rPr>
        <w:t>t 14</w:t>
      </w:r>
      <w:r w:rsidR="0035362C">
        <w:rPr>
          <w:rStyle w:val="Emphasis"/>
          <w:rFonts w:ascii="Times New Roman" w:hAnsi="Times New Roman" w:cs="Times New Roman"/>
          <w:i w:val="0"/>
          <w:sz w:val="26"/>
          <w:szCs w:val="26"/>
        </w:rPr>
        <w:t>%.</w:t>
      </w:r>
    </w:p>
    <w:p w:rsidR="00772D3A" w:rsidRPr="0054494F" w:rsidRDefault="007771F0" w:rsidP="0054494F">
      <w:pPr>
        <w:pStyle w:val="Caption"/>
        <w:spacing w:line="312" w:lineRule="auto"/>
        <w:jc w:val="center"/>
        <w:rPr>
          <w:rStyle w:val="Emphasis"/>
          <w:rFonts w:ascii="Times New Roman" w:hAnsi="Times New Roman" w:cs="Times New Roman"/>
          <w:i w:val="0"/>
          <w:iCs w:val="0"/>
          <w:sz w:val="26"/>
          <w:szCs w:val="26"/>
        </w:rPr>
      </w:pPr>
      <w:bookmarkStart w:id="7" w:name="_Toc535681064"/>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BB64CB">
        <w:rPr>
          <w:rFonts w:ascii="Times New Roman" w:hAnsi="Times New Roman" w:cs="Times New Roman"/>
          <w:noProof/>
          <w:sz w:val="26"/>
          <w:szCs w:val="26"/>
        </w:rPr>
        <w:t>2</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7"/>
    </w:p>
    <w:p w:rsidR="0007459B" w:rsidRPr="00ED3871" w:rsidRDefault="0054494F"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59171862" wp14:editId="660F55D2">
            <wp:extent cx="5591908" cy="2926080"/>
            <wp:effectExtent l="0" t="0" r="889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05E9D">
        <w:rPr>
          <w:rStyle w:val="Emphasis"/>
          <w:rFonts w:ascii="Times New Roman" w:hAnsi="Times New Roman" w:cs="Times New Roman"/>
          <w:sz w:val="26"/>
          <w:szCs w:val="26"/>
        </w:rPr>
        <w:t xml:space="preserve"> </w:t>
      </w:r>
      <w:r w:rsidR="0007459B" w:rsidRPr="00105E9D">
        <w:rPr>
          <w:rStyle w:val="Emphasis"/>
          <w:rFonts w:ascii="Times New Roman" w:hAnsi="Times New Roman" w:cs="Times New Roman"/>
          <w:sz w:val="26"/>
          <w:szCs w:val="26"/>
        </w:rPr>
        <w:t>Nguồn: tính toán từ số liệu của cơ quan thống kê quốc gia Trung Quốc</w:t>
      </w:r>
    </w:p>
    <w:p w:rsidR="00FC0911" w:rsidRPr="00BA3AC4" w:rsidRDefault="00FC0911" w:rsidP="00FC0911">
      <w:pPr>
        <w:spacing w:line="312" w:lineRule="auto"/>
        <w:ind w:firstLine="720"/>
        <w:jc w:val="both"/>
        <w:rPr>
          <w:rFonts w:ascii="Times New Roman" w:hAnsi="Times New Roman" w:cs="Times New Roman"/>
          <w:b/>
          <w:caps/>
          <w:sz w:val="26"/>
          <w:szCs w:val="26"/>
        </w:rPr>
      </w:pPr>
      <w:r>
        <w:rPr>
          <w:rStyle w:val="Emphasis"/>
          <w:rFonts w:ascii="Times New Roman" w:hAnsi="Times New Roman" w:cs="Times New Roman"/>
          <w:i w:val="0"/>
          <w:sz w:val="26"/>
          <w:szCs w:val="26"/>
        </w:rPr>
        <w:t>Tỷ trọng của vận tải đường bộ tiếp tục tăng từ mức 77,63% trong 7 tháng đầu năm lên 77,79% trong 8 tháng đầu năm và 77,96% trong 9 tháng đầ</w:t>
      </w:r>
      <w:r w:rsidR="00630374">
        <w:rPr>
          <w:rStyle w:val="Emphasis"/>
          <w:rFonts w:ascii="Times New Roman" w:hAnsi="Times New Roman" w:cs="Times New Roman"/>
          <w:i w:val="0"/>
          <w:sz w:val="26"/>
          <w:szCs w:val="26"/>
        </w:rPr>
        <w:t xml:space="preserve">u năm, </w:t>
      </w:r>
      <w:r>
        <w:rPr>
          <w:rStyle w:val="Emphasis"/>
          <w:rFonts w:ascii="Times New Roman" w:hAnsi="Times New Roman" w:cs="Times New Roman"/>
          <w:i w:val="0"/>
          <w:sz w:val="26"/>
          <w:szCs w:val="26"/>
        </w:rPr>
        <w:t>78,02% trong 10 tháng đầu năm</w:t>
      </w:r>
      <w:r w:rsidR="00630374">
        <w:rPr>
          <w:rStyle w:val="Emphasis"/>
          <w:rFonts w:ascii="Times New Roman" w:hAnsi="Times New Roman" w:cs="Times New Roman"/>
          <w:i w:val="0"/>
          <w:sz w:val="26"/>
          <w:szCs w:val="26"/>
        </w:rPr>
        <w:t xml:space="preserve"> và 78,09% trong 11 tháng năm 2018</w:t>
      </w:r>
      <w:r>
        <w:rPr>
          <w:rStyle w:val="Emphasis"/>
          <w:rFonts w:ascii="Times New Roman" w:hAnsi="Times New Roman" w:cs="Times New Roman"/>
          <w:i w:val="0"/>
          <w:sz w:val="26"/>
          <w:szCs w:val="26"/>
        </w:rPr>
        <w:t>. Đứng thứ hai là đường thủy vớ</w:t>
      </w:r>
      <w:r w:rsidR="00630374">
        <w:rPr>
          <w:rStyle w:val="Emphasis"/>
          <w:rFonts w:ascii="Times New Roman" w:hAnsi="Times New Roman" w:cs="Times New Roman"/>
          <w:i w:val="0"/>
          <w:sz w:val="26"/>
          <w:szCs w:val="26"/>
        </w:rPr>
        <w:t>i 13</w:t>
      </w:r>
      <w:proofErr w:type="gramStart"/>
      <w:r w:rsidR="00630374">
        <w:rPr>
          <w:rStyle w:val="Emphasis"/>
          <w:rFonts w:ascii="Times New Roman" w:hAnsi="Times New Roman" w:cs="Times New Roman"/>
          <w:i w:val="0"/>
          <w:sz w:val="26"/>
          <w:szCs w:val="26"/>
        </w:rPr>
        <w:t>,91</w:t>
      </w:r>
      <w:proofErr w:type="gramEnd"/>
      <w:r w:rsidR="00630374">
        <w:rPr>
          <w:rStyle w:val="Emphasis"/>
          <w:rFonts w:ascii="Times New Roman" w:hAnsi="Times New Roman" w:cs="Times New Roman"/>
          <w:i w:val="0"/>
          <w:sz w:val="26"/>
          <w:szCs w:val="26"/>
        </w:rPr>
        <w:t>%. Tỷ trọng của</w:t>
      </w:r>
      <w:r>
        <w:rPr>
          <w:rStyle w:val="Emphasis"/>
          <w:rFonts w:ascii="Times New Roman" w:hAnsi="Times New Roman" w:cs="Times New Roman"/>
          <w:i w:val="0"/>
          <w:sz w:val="26"/>
          <w:szCs w:val="26"/>
        </w:rPr>
        <w:t xml:space="preserve"> đường sắt </w:t>
      </w:r>
      <w:r w:rsidR="00630374">
        <w:rPr>
          <w:rStyle w:val="Emphasis"/>
          <w:rFonts w:ascii="Times New Roman" w:hAnsi="Times New Roman" w:cs="Times New Roman"/>
          <w:i w:val="0"/>
          <w:sz w:val="26"/>
          <w:szCs w:val="26"/>
        </w:rPr>
        <w:t xml:space="preserve">giảm từ </w:t>
      </w:r>
      <w:r>
        <w:rPr>
          <w:rStyle w:val="Emphasis"/>
          <w:rFonts w:ascii="Times New Roman" w:hAnsi="Times New Roman" w:cs="Times New Roman"/>
          <w:i w:val="0"/>
          <w:sz w:val="26"/>
          <w:szCs w:val="26"/>
        </w:rPr>
        <w:t>8</w:t>
      </w:r>
      <w:proofErr w:type="gramStart"/>
      <w:r>
        <w:rPr>
          <w:rStyle w:val="Emphasis"/>
          <w:rFonts w:ascii="Times New Roman" w:hAnsi="Times New Roman" w:cs="Times New Roman"/>
          <w:i w:val="0"/>
          <w:sz w:val="26"/>
          <w:szCs w:val="26"/>
        </w:rPr>
        <w:t>,05</w:t>
      </w:r>
      <w:proofErr w:type="gramEnd"/>
      <w:r>
        <w:rPr>
          <w:rStyle w:val="Emphasis"/>
          <w:rFonts w:ascii="Times New Roman" w:hAnsi="Times New Roman" w:cs="Times New Roman"/>
          <w:i w:val="0"/>
          <w:sz w:val="26"/>
          <w:szCs w:val="26"/>
        </w:rPr>
        <w:t>%</w:t>
      </w:r>
      <w:r w:rsidR="00630374">
        <w:rPr>
          <w:rStyle w:val="Emphasis"/>
          <w:rFonts w:ascii="Times New Roman" w:hAnsi="Times New Roman" w:cs="Times New Roman"/>
          <w:i w:val="0"/>
          <w:sz w:val="26"/>
          <w:szCs w:val="26"/>
        </w:rPr>
        <w:t xml:space="preserve"> xuống còn 7,98% mặc dù ngành này đạt tốc độ tăng trưởng cao nhất trong các phương thức vận tải</w:t>
      </w:r>
      <w:r>
        <w:rPr>
          <w:rStyle w:val="Emphasis"/>
          <w:rFonts w:ascii="Times New Roman" w:hAnsi="Times New Roman" w:cs="Times New Roman"/>
          <w:i w:val="0"/>
          <w:sz w:val="26"/>
          <w:szCs w:val="26"/>
        </w:rPr>
        <w:t>. Tỷ trọng của hàng không dân dụng rất khiêm tốn ở mức 0</w:t>
      </w:r>
      <w:proofErr w:type="gramStart"/>
      <w:r>
        <w:rPr>
          <w:rStyle w:val="Emphasis"/>
          <w:rFonts w:ascii="Times New Roman" w:hAnsi="Times New Roman" w:cs="Times New Roman"/>
          <w:i w:val="0"/>
          <w:sz w:val="26"/>
          <w:szCs w:val="26"/>
        </w:rPr>
        <w:t>,01</w:t>
      </w:r>
      <w:proofErr w:type="gramEnd"/>
      <w:r>
        <w:rPr>
          <w:rStyle w:val="Emphasis"/>
          <w:rFonts w:ascii="Times New Roman" w:hAnsi="Times New Roman" w:cs="Times New Roman"/>
          <w:i w:val="0"/>
          <w:sz w:val="26"/>
          <w:szCs w:val="26"/>
        </w:rPr>
        <w:t>%.</w:t>
      </w:r>
    </w:p>
    <w:p w:rsidR="00B372A5" w:rsidRDefault="007771F0" w:rsidP="00261835">
      <w:pPr>
        <w:pStyle w:val="Caption"/>
        <w:spacing w:after="0" w:line="312" w:lineRule="auto"/>
        <w:jc w:val="center"/>
        <w:rPr>
          <w:rStyle w:val="Emphasis"/>
          <w:rFonts w:ascii="Times New Roman" w:hAnsi="Times New Roman" w:cs="Times New Roman"/>
          <w:i w:val="0"/>
          <w:sz w:val="26"/>
          <w:szCs w:val="26"/>
        </w:rPr>
      </w:pPr>
      <w:bookmarkStart w:id="8" w:name="_Toc535681071"/>
      <w:r w:rsidRPr="00C45DE0">
        <w:rPr>
          <w:rStyle w:val="Emphasis"/>
          <w:rFonts w:ascii="Times New Roman" w:hAnsi="Times New Roman" w:cs="Times New Roman"/>
          <w:i w:val="0"/>
          <w:sz w:val="26"/>
          <w:szCs w:val="26"/>
        </w:rPr>
        <w:lastRenderedPageBreak/>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w:t>
      </w:r>
      <w:bookmarkEnd w:id="8"/>
      <w:r w:rsidR="0007459B" w:rsidRPr="00C45DE0">
        <w:rPr>
          <w:rStyle w:val="Emphasis"/>
          <w:rFonts w:ascii="Times New Roman" w:hAnsi="Times New Roman" w:cs="Times New Roman"/>
          <w:i w:val="0"/>
          <w:sz w:val="26"/>
          <w:szCs w:val="26"/>
        </w:rPr>
        <w:t xml:space="preserve"> </w:t>
      </w:r>
    </w:p>
    <w:p w:rsidR="0007459B" w:rsidRPr="00C45DE0" w:rsidRDefault="0007459B" w:rsidP="00261835">
      <w:pPr>
        <w:pStyle w:val="Caption"/>
        <w:spacing w:after="0" w:line="312" w:lineRule="auto"/>
        <w:jc w:val="center"/>
        <w:rPr>
          <w:rStyle w:val="Emphasis"/>
          <w:rFonts w:ascii="Times New Roman" w:hAnsi="Times New Roman" w:cs="Times New Roman"/>
          <w:sz w:val="26"/>
          <w:szCs w:val="26"/>
        </w:rPr>
      </w:pPr>
      <w:proofErr w:type="gramStart"/>
      <w:r w:rsidRPr="00C45DE0">
        <w:rPr>
          <w:rStyle w:val="Emphasis"/>
          <w:rFonts w:ascii="Times New Roman" w:hAnsi="Times New Roman" w:cs="Times New Roman"/>
          <w:i w:val="0"/>
          <w:sz w:val="26"/>
          <w:szCs w:val="26"/>
        </w:rPr>
        <w:t>trong</w:t>
      </w:r>
      <w:proofErr w:type="gramEnd"/>
      <w:r w:rsidRPr="00C45DE0">
        <w:rPr>
          <w:rStyle w:val="Emphasis"/>
          <w:rFonts w:ascii="Times New Roman" w:hAnsi="Times New Roman" w:cs="Times New Roman"/>
          <w:i w:val="0"/>
          <w:sz w:val="26"/>
          <w:szCs w:val="26"/>
        </w:rPr>
        <w:t xml:space="preserve"> </w:t>
      </w:r>
      <w:r w:rsidR="0035362C">
        <w:rPr>
          <w:rStyle w:val="Emphasis"/>
          <w:rFonts w:ascii="Times New Roman" w:hAnsi="Times New Roman" w:cs="Times New Roman"/>
          <w:i w:val="0"/>
          <w:sz w:val="26"/>
          <w:szCs w:val="26"/>
        </w:rPr>
        <w:t>10</w:t>
      </w:r>
      <w:r w:rsidR="00DA01C4">
        <w:rPr>
          <w:rStyle w:val="Emphasis"/>
          <w:rFonts w:ascii="Times New Roman" w:hAnsi="Times New Roman" w:cs="Times New Roman"/>
          <w:i w:val="0"/>
          <w:sz w:val="26"/>
          <w:szCs w:val="26"/>
        </w:rPr>
        <w:t xml:space="preserve"> tháng đầu năm </w:t>
      </w:r>
      <w:r w:rsidRPr="00C45DE0">
        <w:rPr>
          <w:rStyle w:val="Emphasis"/>
          <w:rFonts w:ascii="Times New Roman" w:hAnsi="Times New Roman" w:cs="Times New Roman"/>
          <w:i w:val="0"/>
          <w:sz w:val="26"/>
          <w:szCs w:val="26"/>
        </w:rPr>
        <w:t>2018</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2"/>
        <w:gridCol w:w="2069"/>
        <w:gridCol w:w="1766"/>
        <w:gridCol w:w="1909"/>
      </w:tblGrid>
      <w:tr w:rsidR="0007459B" w:rsidRPr="00630374" w:rsidTr="00630374">
        <w:trPr>
          <w:trHeight w:val="473"/>
          <w:jc w:val="center"/>
        </w:trPr>
        <w:tc>
          <w:tcPr>
            <w:tcW w:w="2622" w:type="dxa"/>
            <w:shd w:val="clear" w:color="000000" w:fill="FFFF00"/>
            <w:noWrap/>
            <w:vAlign w:val="bottom"/>
            <w:hideMark/>
          </w:tcPr>
          <w:p w:rsidR="0007459B" w:rsidRPr="00630374" w:rsidRDefault="0007459B" w:rsidP="00261835">
            <w:pPr>
              <w:spacing w:line="312" w:lineRule="auto"/>
              <w:jc w:val="center"/>
              <w:rPr>
                <w:rFonts w:ascii="Times New Roman" w:hAnsi="Times New Roman" w:cs="Times New Roman"/>
                <w:b/>
                <w:color w:val="000000"/>
                <w:sz w:val="26"/>
                <w:szCs w:val="26"/>
              </w:rPr>
            </w:pPr>
          </w:p>
        </w:tc>
        <w:tc>
          <w:tcPr>
            <w:tcW w:w="2069" w:type="dxa"/>
            <w:shd w:val="clear" w:color="000000" w:fill="FFFF00"/>
            <w:noWrap/>
            <w:vAlign w:val="bottom"/>
            <w:hideMark/>
          </w:tcPr>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766" w:type="dxa"/>
            <w:shd w:val="clear" w:color="000000" w:fill="FFFF00"/>
            <w:noWrap/>
            <w:vAlign w:val="bottom"/>
            <w:hideMark/>
          </w:tcPr>
          <w:p w:rsidR="003334FF"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1909" w:type="dxa"/>
            <w:shd w:val="clear" w:color="000000" w:fill="FFFF00"/>
            <w:noWrap/>
            <w:vAlign w:val="bottom"/>
            <w:hideMark/>
          </w:tcPr>
          <w:p w:rsidR="0064258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261835">
            <w:pPr>
              <w:spacing w:line="312"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630374" w:rsidRPr="00630374" w:rsidTr="00630374">
        <w:trPr>
          <w:trHeight w:val="240"/>
          <w:jc w:val="center"/>
        </w:trPr>
        <w:tc>
          <w:tcPr>
            <w:tcW w:w="2622" w:type="dxa"/>
            <w:shd w:val="clear" w:color="auto" w:fill="auto"/>
            <w:noWrap/>
            <w:vAlign w:val="bottom"/>
            <w:hideMark/>
          </w:tcPr>
          <w:p w:rsidR="00630374" w:rsidRPr="00630374" w:rsidRDefault="00630374">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069" w:type="dxa"/>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4.608.736</w:t>
            </w:r>
          </w:p>
        </w:tc>
        <w:tc>
          <w:tcPr>
            <w:tcW w:w="1766" w:type="dxa"/>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100,00</w:t>
            </w:r>
          </w:p>
        </w:tc>
        <w:tc>
          <w:tcPr>
            <w:tcW w:w="0" w:type="auto"/>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7,2</w:t>
            </w:r>
          </w:p>
        </w:tc>
      </w:tr>
      <w:tr w:rsidR="00630374" w:rsidRPr="00630374" w:rsidTr="00630374">
        <w:trPr>
          <w:trHeight w:val="302"/>
          <w:jc w:val="center"/>
        </w:trPr>
        <w:tc>
          <w:tcPr>
            <w:tcW w:w="2622" w:type="dxa"/>
            <w:shd w:val="clear" w:color="auto" w:fill="auto"/>
            <w:noWrap/>
            <w:vAlign w:val="bottom"/>
            <w:hideMark/>
          </w:tcPr>
          <w:p w:rsidR="00630374" w:rsidRPr="00630374" w:rsidRDefault="00630374">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069" w:type="dxa"/>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367.925</w:t>
            </w:r>
          </w:p>
        </w:tc>
        <w:tc>
          <w:tcPr>
            <w:tcW w:w="1766" w:type="dxa"/>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7,98</w:t>
            </w:r>
          </w:p>
        </w:tc>
        <w:tc>
          <w:tcPr>
            <w:tcW w:w="0" w:type="auto"/>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8,7</w:t>
            </w:r>
          </w:p>
        </w:tc>
      </w:tr>
      <w:tr w:rsidR="00630374" w:rsidRPr="00630374" w:rsidTr="00630374">
        <w:trPr>
          <w:trHeight w:val="302"/>
          <w:jc w:val="center"/>
        </w:trPr>
        <w:tc>
          <w:tcPr>
            <w:tcW w:w="2622" w:type="dxa"/>
            <w:shd w:val="clear" w:color="auto" w:fill="auto"/>
            <w:noWrap/>
            <w:vAlign w:val="bottom"/>
            <w:hideMark/>
          </w:tcPr>
          <w:p w:rsidR="00630374" w:rsidRPr="00630374" w:rsidRDefault="00630374">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069" w:type="dxa"/>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3.599.191.00</w:t>
            </w:r>
          </w:p>
        </w:tc>
        <w:tc>
          <w:tcPr>
            <w:tcW w:w="1766" w:type="dxa"/>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78,09</w:t>
            </w:r>
          </w:p>
        </w:tc>
        <w:tc>
          <w:tcPr>
            <w:tcW w:w="0" w:type="auto"/>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7,5</w:t>
            </w:r>
          </w:p>
        </w:tc>
      </w:tr>
      <w:tr w:rsidR="00630374" w:rsidRPr="00630374" w:rsidTr="00630374">
        <w:trPr>
          <w:trHeight w:val="302"/>
          <w:jc w:val="center"/>
        </w:trPr>
        <w:tc>
          <w:tcPr>
            <w:tcW w:w="2622" w:type="dxa"/>
            <w:shd w:val="clear" w:color="auto" w:fill="auto"/>
            <w:noWrap/>
            <w:vAlign w:val="bottom"/>
            <w:hideMark/>
          </w:tcPr>
          <w:p w:rsidR="00630374" w:rsidRPr="00630374" w:rsidRDefault="00630374">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069" w:type="dxa"/>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640.949.00</w:t>
            </w:r>
          </w:p>
        </w:tc>
        <w:tc>
          <w:tcPr>
            <w:tcW w:w="1766" w:type="dxa"/>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13,91</w:t>
            </w:r>
          </w:p>
        </w:tc>
        <w:tc>
          <w:tcPr>
            <w:tcW w:w="0" w:type="auto"/>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4,7</w:t>
            </w:r>
          </w:p>
        </w:tc>
      </w:tr>
      <w:tr w:rsidR="00630374" w:rsidRPr="00630374" w:rsidTr="00630374">
        <w:trPr>
          <w:trHeight w:val="302"/>
          <w:jc w:val="center"/>
        </w:trPr>
        <w:tc>
          <w:tcPr>
            <w:tcW w:w="2622" w:type="dxa"/>
            <w:shd w:val="clear" w:color="auto" w:fill="auto"/>
            <w:noWrap/>
            <w:vAlign w:val="bottom"/>
            <w:hideMark/>
          </w:tcPr>
          <w:p w:rsidR="00630374" w:rsidRPr="00630374" w:rsidRDefault="00630374">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069" w:type="dxa"/>
            <w:shd w:val="clear" w:color="000000" w:fill="FFFFFF"/>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671.00</w:t>
            </w:r>
          </w:p>
        </w:tc>
        <w:tc>
          <w:tcPr>
            <w:tcW w:w="1766" w:type="dxa"/>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0,01</w:t>
            </w:r>
          </w:p>
        </w:tc>
        <w:tc>
          <w:tcPr>
            <w:tcW w:w="0" w:type="auto"/>
            <w:shd w:val="clear" w:color="auto" w:fill="auto"/>
            <w:noWrap/>
            <w:vAlign w:val="bottom"/>
          </w:tcPr>
          <w:p w:rsidR="00630374" w:rsidRPr="00630374" w:rsidRDefault="00630374">
            <w:pPr>
              <w:jc w:val="right"/>
              <w:rPr>
                <w:rFonts w:ascii="Times New Roman" w:hAnsi="Times New Roman" w:cs="Times New Roman"/>
                <w:color w:val="000000"/>
                <w:sz w:val="26"/>
                <w:szCs w:val="26"/>
              </w:rPr>
            </w:pPr>
            <w:r w:rsidRPr="00630374">
              <w:rPr>
                <w:rFonts w:ascii="Times New Roman" w:hAnsi="Times New Roman" w:cs="Times New Roman"/>
                <w:color w:val="000000"/>
                <w:sz w:val="26"/>
                <w:szCs w:val="26"/>
              </w:rPr>
              <w:t>4,9</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772D3A" w:rsidRDefault="007771F0" w:rsidP="00630374">
      <w:pPr>
        <w:spacing w:line="312" w:lineRule="auto"/>
        <w:ind w:firstLine="720"/>
        <w:jc w:val="center"/>
        <w:rPr>
          <w:rFonts w:ascii="Times New Roman" w:hAnsi="Times New Roman" w:cs="Times New Roman"/>
          <w:b/>
          <w:sz w:val="26"/>
          <w:szCs w:val="26"/>
        </w:rPr>
      </w:pPr>
      <w:bookmarkStart w:id="9" w:name="_Toc53568106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BB64CB">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c</w:t>
      </w:r>
      <w:bookmarkEnd w:id="9"/>
      <w:r w:rsidR="003334FF">
        <w:rPr>
          <w:rFonts w:ascii="Times New Roman" w:hAnsi="Times New Roman" w:cs="Times New Roman"/>
          <w:b/>
          <w:sz w:val="26"/>
          <w:szCs w:val="26"/>
        </w:rPr>
        <w:t xml:space="preserve"> </w:t>
      </w:r>
    </w:p>
    <w:p w:rsidR="00630374" w:rsidRDefault="0054494F" w:rsidP="0054494F">
      <w:pPr>
        <w:pStyle w:val="ListParagraph"/>
        <w:spacing w:line="312" w:lineRule="auto"/>
        <w:rPr>
          <w:rStyle w:val="Emphasis"/>
          <w:rFonts w:ascii="Times New Roman" w:hAnsi="Times New Roman" w:cs="Times New Roman"/>
          <w:sz w:val="26"/>
          <w:szCs w:val="26"/>
        </w:rPr>
      </w:pPr>
      <w:r>
        <w:rPr>
          <w:noProof/>
        </w:rPr>
        <w:drawing>
          <wp:inline distT="0" distB="0" distL="0" distR="0" wp14:anchorId="755C3A8B" wp14:editId="6E3EDDDB">
            <wp:extent cx="4986997" cy="2989385"/>
            <wp:effectExtent l="0" t="0" r="444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05E9D">
        <w:rPr>
          <w:rStyle w:val="Emphasis"/>
          <w:rFonts w:ascii="Times New Roman" w:hAnsi="Times New Roman" w:cs="Times New Roman"/>
          <w:sz w:val="26"/>
          <w:szCs w:val="26"/>
        </w:rPr>
        <w:t xml:space="preserve"> </w:t>
      </w:r>
    </w:p>
    <w:p w:rsidR="00176F88" w:rsidRPr="0054494F" w:rsidRDefault="007771F0" w:rsidP="0054494F">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10" w:name="_Toc535681056"/>
      <w:r w:rsidRPr="00AC37BB">
        <w:rPr>
          <w:rStyle w:val="Emphasis"/>
          <w:rFonts w:ascii="Times New Roman" w:hAnsi="Times New Roman" w:cs="Times New Roman"/>
          <w:b/>
          <w:sz w:val="26"/>
          <w:szCs w:val="26"/>
        </w:rPr>
        <w:t>Vận chuyển đường sắt:</w:t>
      </w:r>
      <w:bookmarkEnd w:id="10"/>
    </w:p>
    <w:p w:rsidR="00674070" w:rsidRDefault="007771F0" w:rsidP="00392A7A">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630374">
        <w:rPr>
          <w:rStyle w:val="Emphasis"/>
          <w:rFonts w:ascii="Times New Roman" w:hAnsi="Times New Roman" w:cs="Times New Roman"/>
          <w:i w:val="0"/>
          <w:sz w:val="26"/>
          <w:szCs w:val="26"/>
        </w:rPr>
        <w:t>11</w:t>
      </w:r>
      <w:r w:rsidR="0076011B">
        <w:rPr>
          <w:rStyle w:val="Emphasis"/>
          <w:rFonts w:ascii="Times New Roman" w:hAnsi="Times New Roman" w:cs="Times New Roman"/>
          <w:i w:val="0"/>
          <w:sz w:val="26"/>
          <w:szCs w:val="26"/>
        </w:rPr>
        <w:t>/2018 đạt</w:t>
      </w:r>
      <w:r w:rsidR="00630374">
        <w:rPr>
          <w:rStyle w:val="Emphasis"/>
          <w:rFonts w:ascii="Times New Roman" w:hAnsi="Times New Roman" w:cs="Times New Roman"/>
          <w:i w:val="0"/>
          <w:sz w:val="26"/>
          <w:szCs w:val="26"/>
        </w:rPr>
        <w:t xml:space="preserve"> 350</w:t>
      </w:r>
      <w:proofErr w:type="gramStart"/>
      <w:r w:rsidR="00630374">
        <w:rPr>
          <w:rStyle w:val="Emphasis"/>
          <w:rFonts w:ascii="Times New Roman" w:hAnsi="Times New Roman" w:cs="Times New Roman"/>
          <w:i w:val="0"/>
          <w:sz w:val="26"/>
          <w:szCs w:val="26"/>
        </w:rPr>
        <w:t>,8</w:t>
      </w:r>
      <w:proofErr w:type="gramEnd"/>
      <w:r w:rsidR="00674070">
        <w:rPr>
          <w:rStyle w:val="Emphasis"/>
          <w:rFonts w:ascii="Times New Roman" w:hAnsi="Times New Roman" w:cs="Times New Roman"/>
          <w:i w:val="0"/>
          <w:sz w:val="26"/>
          <w:szCs w:val="26"/>
        </w:rPr>
        <w:t xml:space="preserve"> triệu tấn</w:t>
      </w:r>
      <w:r w:rsidR="00B752B6">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tăng mạ</w:t>
      </w:r>
      <w:r w:rsidR="00630374">
        <w:rPr>
          <w:rStyle w:val="Emphasis"/>
          <w:rFonts w:ascii="Times New Roman" w:hAnsi="Times New Roman" w:cs="Times New Roman"/>
          <w:i w:val="0"/>
          <w:sz w:val="26"/>
          <w:szCs w:val="26"/>
        </w:rPr>
        <w:t>nh 14</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w:t>
      </w:r>
      <w:proofErr w:type="gramStart"/>
      <w:r w:rsidR="00674070">
        <w:rPr>
          <w:rStyle w:val="Emphasis"/>
          <w:rFonts w:ascii="Times New Roman" w:hAnsi="Times New Roman" w:cs="Times New Roman"/>
          <w:i w:val="0"/>
          <w:sz w:val="26"/>
          <w:szCs w:val="26"/>
        </w:rPr>
        <w:t xml:space="preserve">Đây cũng là mức </w:t>
      </w:r>
      <w:r w:rsidR="00674070">
        <w:rPr>
          <w:rStyle w:val="Emphasis"/>
          <w:rFonts w:ascii="Times New Roman" w:hAnsi="Times New Roman" w:cs="Times New Roman"/>
          <w:i w:val="0"/>
          <w:sz w:val="26"/>
          <w:szCs w:val="26"/>
        </w:rPr>
        <w:lastRenderedPageBreak/>
        <w:t xml:space="preserve">tăng cao nhất trong tháng so với cùng kỳ năm trước </w:t>
      </w:r>
      <w:r w:rsidR="00FC0911">
        <w:rPr>
          <w:rStyle w:val="Emphasis"/>
          <w:rFonts w:ascii="Times New Roman" w:hAnsi="Times New Roman" w:cs="Times New Roman"/>
          <w:i w:val="0"/>
          <w:sz w:val="26"/>
          <w:szCs w:val="26"/>
        </w:rPr>
        <w:t>trong số</w:t>
      </w:r>
      <w:r w:rsidR="00674070">
        <w:rPr>
          <w:rStyle w:val="Emphasis"/>
          <w:rFonts w:ascii="Times New Roman" w:hAnsi="Times New Roman" w:cs="Times New Roman"/>
          <w:i w:val="0"/>
          <w:sz w:val="26"/>
          <w:szCs w:val="26"/>
        </w:rPr>
        <w:t xml:space="preserve"> các phương thức vận tải.</w:t>
      </w:r>
      <w:proofErr w:type="gramEnd"/>
      <w:r w:rsidR="00674070">
        <w:rPr>
          <w:rStyle w:val="Emphasis"/>
          <w:rFonts w:ascii="Times New Roman" w:hAnsi="Times New Roman" w:cs="Times New Roman"/>
          <w:i w:val="0"/>
          <w:sz w:val="26"/>
          <w:szCs w:val="26"/>
        </w:rPr>
        <w:t xml:space="preserve"> </w:t>
      </w:r>
    </w:p>
    <w:p w:rsidR="00392A7A" w:rsidRPr="00392A7A" w:rsidRDefault="00674070" w:rsidP="00392A7A">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 xml:space="preserve">Tính chung </w:t>
      </w:r>
      <w:r w:rsidR="00630374">
        <w:rPr>
          <w:rStyle w:val="Emphasis"/>
          <w:rFonts w:ascii="Times New Roman" w:hAnsi="Times New Roman" w:cs="Times New Roman"/>
          <w:i w:val="0"/>
          <w:sz w:val="26"/>
          <w:szCs w:val="26"/>
        </w:rPr>
        <w:t>11</w:t>
      </w:r>
      <w:r w:rsidR="00817266">
        <w:rPr>
          <w:rStyle w:val="Emphasis"/>
          <w:rFonts w:ascii="Times New Roman" w:hAnsi="Times New Roman" w:cs="Times New Roman"/>
          <w:i w:val="0"/>
          <w:sz w:val="26"/>
          <w:szCs w:val="26"/>
        </w:rPr>
        <w:t xml:space="preserve"> tháng đầu năm 2018 thì vận chuyển hàng hóa bằng đường sắt đạ</w:t>
      </w:r>
      <w:r>
        <w:rPr>
          <w:rStyle w:val="Emphasis"/>
          <w:rFonts w:ascii="Times New Roman" w:hAnsi="Times New Roman" w:cs="Times New Roman"/>
          <w:i w:val="0"/>
          <w:sz w:val="26"/>
          <w:szCs w:val="26"/>
        </w:rPr>
        <w:t xml:space="preserve">t trên </w:t>
      </w:r>
      <w:r w:rsidR="0035362C">
        <w:rPr>
          <w:rStyle w:val="Emphasis"/>
          <w:rFonts w:ascii="Times New Roman" w:hAnsi="Times New Roman" w:cs="Times New Roman"/>
          <w:i w:val="0"/>
          <w:sz w:val="26"/>
          <w:szCs w:val="26"/>
        </w:rPr>
        <w:t>3</w:t>
      </w:r>
      <w:r>
        <w:rPr>
          <w:rStyle w:val="Emphasis"/>
          <w:rFonts w:ascii="Times New Roman" w:hAnsi="Times New Roman" w:cs="Times New Roman"/>
          <w:i w:val="0"/>
          <w:sz w:val="26"/>
          <w:szCs w:val="26"/>
        </w:rPr>
        <w:t>,</w:t>
      </w:r>
      <w:r w:rsidR="00630374">
        <w:rPr>
          <w:rStyle w:val="Emphasis"/>
          <w:rFonts w:ascii="Times New Roman" w:hAnsi="Times New Roman" w:cs="Times New Roman"/>
          <w:i w:val="0"/>
          <w:sz w:val="26"/>
          <w:szCs w:val="26"/>
        </w:rPr>
        <w:t>67</w:t>
      </w:r>
      <w:r>
        <w:rPr>
          <w:rStyle w:val="Emphasis"/>
          <w:rFonts w:ascii="Times New Roman" w:hAnsi="Times New Roman" w:cs="Times New Roman"/>
          <w:i w:val="0"/>
          <w:sz w:val="26"/>
          <w:szCs w:val="26"/>
        </w:rPr>
        <w:t xml:space="preserve"> </w:t>
      </w:r>
      <w:r w:rsidR="00817266">
        <w:rPr>
          <w:rStyle w:val="Emphasis"/>
          <w:rFonts w:ascii="Times New Roman" w:hAnsi="Times New Roman" w:cs="Times New Roman"/>
          <w:i w:val="0"/>
          <w:sz w:val="26"/>
          <w:szCs w:val="26"/>
        </w:rPr>
        <w:t>tỷ tấ</w:t>
      </w:r>
      <w:r>
        <w:rPr>
          <w:rStyle w:val="Emphasis"/>
          <w:rFonts w:ascii="Times New Roman" w:hAnsi="Times New Roman" w:cs="Times New Roman"/>
          <w:i w:val="0"/>
          <w:sz w:val="26"/>
          <w:szCs w:val="26"/>
        </w:rPr>
        <w:t>n</w:t>
      </w:r>
      <w:r w:rsidR="00817266" w:rsidRPr="00817266">
        <w:rPr>
          <w:rStyle w:val="Emphasis"/>
          <w:rFonts w:ascii="Times New Roman" w:hAnsi="Times New Roman" w:cs="Times New Roman"/>
          <w:i w:val="0"/>
          <w:sz w:val="26"/>
          <w:szCs w:val="26"/>
        </w:rPr>
        <w:t xml:space="preserve">, tăng </w:t>
      </w:r>
      <w:r w:rsidR="00630374">
        <w:rPr>
          <w:rStyle w:val="Emphasis"/>
          <w:rFonts w:ascii="Times New Roman" w:hAnsi="Times New Roman" w:cs="Times New Roman"/>
          <w:i w:val="0"/>
          <w:sz w:val="26"/>
          <w:szCs w:val="26"/>
        </w:rPr>
        <w:t>8,7</w:t>
      </w:r>
      <w:r w:rsidR="00817266" w:rsidRPr="00817266">
        <w:rPr>
          <w:rStyle w:val="Emphasis"/>
          <w:rFonts w:ascii="Times New Roman" w:hAnsi="Times New Roman" w:cs="Times New Roman"/>
          <w:i w:val="0"/>
          <w:sz w:val="26"/>
          <w:szCs w:val="26"/>
        </w:rPr>
        <w:t>% so với cùng kỳ năm 2017.</w:t>
      </w:r>
      <w:r w:rsidR="00817266">
        <w:rPr>
          <w:rStyle w:val="Emphasis"/>
          <w:rFonts w:ascii="Times New Roman" w:hAnsi="Times New Roman" w:cs="Times New Roman"/>
          <w:sz w:val="26"/>
          <w:szCs w:val="26"/>
        </w:rPr>
        <w:t xml:space="preserve"> </w:t>
      </w:r>
    </w:p>
    <w:p w:rsidR="0064258B" w:rsidRDefault="00EB066A" w:rsidP="0025748E">
      <w:pPr>
        <w:pStyle w:val="ListParagraph"/>
        <w:spacing w:line="312" w:lineRule="auto"/>
        <w:jc w:val="center"/>
        <w:rPr>
          <w:rFonts w:ascii="Times New Roman" w:hAnsi="Times New Roman" w:cs="Times New Roman"/>
          <w:b/>
          <w:sz w:val="26"/>
          <w:szCs w:val="26"/>
        </w:rPr>
      </w:pPr>
      <w:bookmarkStart w:id="11" w:name="_Toc53568106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BB64CB">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1"/>
    </w:p>
    <w:p w:rsidR="007771F0" w:rsidRDefault="00EB066A" w:rsidP="00F0365A">
      <w:pPr>
        <w:pStyle w:val="ListParagraph"/>
        <w:spacing w:line="312" w:lineRule="auto"/>
        <w:ind w:left="0"/>
        <w:jc w:val="center"/>
        <w:rPr>
          <w:rFonts w:ascii="Times New Roman" w:hAnsi="Times New Roman" w:cs="Times New Roman"/>
          <w:b/>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FC4784" w:rsidRPr="0035362C" w:rsidRDefault="00630374" w:rsidP="0035362C">
      <w:pPr>
        <w:pStyle w:val="ListParagraph"/>
        <w:spacing w:line="312" w:lineRule="auto"/>
        <w:ind w:left="0"/>
        <w:jc w:val="center"/>
        <w:rPr>
          <w:rStyle w:val="Emphasis"/>
          <w:rFonts w:ascii="Times New Roman" w:hAnsi="Times New Roman" w:cs="Times New Roman"/>
          <w:b/>
          <w:i w:val="0"/>
          <w:iCs w:val="0"/>
          <w:sz w:val="26"/>
          <w:szCs w:val="26"/>
        </w:rPr>
      </w:pPr>
      <w:r>
        <w:rPr>
          <w:noProof/>
        </w:rPr>
        <w:drawing>
          <wp:inline distT="0" distB="0" distL="0" distR="0" wp14:anchorId="7CD20208" wp14:editId="1FA4E744">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6A0E" w:rsidRDefault="007771F0" w:rsidP="00630374">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A95405" w:rsidRPr="00A95405" w:rsidRDefault="00A95405" w:rsidP="00A95405">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Pr="00A95405">
        <w:rPr>
          <w:rFonts w:ascii="Times New Roman" w:hAnsi="Times New Roman" w:cs="Times New Roman"/>
          <w:sz w:val="26"/>
          <w:szCs w:val="26"/>
        </w:rPr>
        <w:t>heo Tập đoàn Đường sắt Trung Quố</w:t>
      </w:r>
      <w:r>
        <w:rPr>
          <w:rFonts w:ascii="Times New Roman" w:hAnsi="Times New Roman" w:cs="Times New Roman"/>
          <w:sz w:val="26"/>
          <w:szCs w:val="26"/>
        </w:rPr>
        <w:t>c, v</w:t>
      </w:r>
      <w:r w:rsidRPr="00A95405">
        <w:rPr>
          <w:rFonts w:ascii="Times New Roman" w:hAnsi="Times New Roman" w:cs="Times New Roman"/>
          <w:sz w:val="26"/>
          <w:szCs w:val="26"/>
        </w:rPr>
        <w:t>ận tải hàng hóa</w:t>
      </w:r>
      <w:r>
        <w:rPr>
          <w:rFonts w:ascii="Times New Roman" w:hAnsi="Times New Roman" w:cs="Times New Roman"/>
          <w:sz w:val="26"/>
          <w:szCs w:val="26"/>
        </w:rPr>
        <w:t xml:space="preserve"> bằng đường sắt giữa</w:t>
      </w:r>
      <w:r w:rsidRPr="00A95405">
        <w:rPr>
          <w:rFonts w:ascii="Times New Roman" w:hAnsi="Times New Roman" w:cs="Times New Roman"/>
          <w:sz w:val="26"/>
          <w:szCs w:val="26"/>
        </w:rPr>
        <w:t xml:space="preserve"> Trung Quốc-châu Âu đã thực hiện 6.363 chuyến trong năm 2018, tăng 73% so vớ</w:t>
      </w:r>
      <w:r>
        <w:rPr>
          <w:rFonts w:ascii="Times New Roman" w:hAnsi="Times New Roman" w:cs="Times New Roman"/>
          <w:sz w:val="26"/>
          <w:szCs w:val="26"/>
        </w:rPr>
        <w:t>i năm 2017.</w:t>
      </w:r>
    </w:p>
    <w:p w:rsidR="00A95405" w:rsidRPr="00A95405" w:rsidRDefault="00A95405" w:rsidP="00A95405">
      <w:pPr>
        <w:spacing w:line="312" w:lineRule="auto"/>
        <w:ind w:firstLine="720"/>
        <w:jc w:val="both"/>
        <w:rPr>
          <w:rFonts w:ascii="Times New Roman" w:hAnsi="Times New Roman" w:cs="Times New Roman"/>
          <w:sz w:val="26"/>
          <w:szCs w:val="26"/>
        </w:rPr>
      </w:pPr>
      <w:r w:rsidRPr="00A95405">
        <w:rPr>
          <w:rFonts w:ascii="Times New Roman" w:hAnsi="Times New Roman" w:cs="Times New Roman"/>
          <w:sz w:val="26"/>
          <w:szCs w:val="26"/>
        </w:rPr>
        <w:t>Lưu lượng vận chuyển hàng hóa đã được cân bằng hơn, với số chuyến đi từ châu Âu đến Trung Quốc chiếm 72% số chuyến, tăng từ 53% trong năm 2017.</w:t>
      </w:r>
      <w:r>
        <w:rPr>
          <w:rFonts w:ascii="Times New Roman" w:hAnsi="Times New Roman" w:cs="Times New Roman"/>
          <w:sz w:val="26"/>
          <w:szCs w:val="26"/>
        </w:rPr>
        <w:t xml:space="preserve"> </w:t>
      </w:r>
      <w:r w:rsidRPr="00A95405">
        <w:rPr>
          <w:rFonts w:ascii="Times New Roman" w:hAnsi="Times New Roman" w:cs="Times New Roman"/>
          <w:sz w:val="26"/>
          <w:szCs w:val="26"/>
        </w:rPr>
        <w:t>Các chuyến tàu kết nối 59 thành phố của Trung Quốc với 49 thành phố ở 15 quố</w:t>
      </w:r>
      <w:r>
        <w:rPr>
          <w:rFonts w:ascii="Times New Roman" w:hAnsi="Times New Roman" w:cs="Times New Roman"/>
          <w:sz w:val="26"/>
          <w:szCs w:val="26"/>
        </w:rPr>
        <w:t>c gia châu Âu.</w:t>
      </w:r>
    </w:p>
    <w:p w:rsidR="00A95405" w:rsidRDefault="00A95405" w:rsidP="00A95405">
      <w:pPr>
        <w:spacing w:line="312" w:lineRule="auto"/>
        <w:ind w:firstLine="720"/>
        <w:jc w:val="both"/>
        <w:rPr>
          <w:rFonts w:ascii="Times New Roman" w:hAnsi="Times New Roman" w:cs="Times New Roman"/>
          <w:sz w:val="26"/>
          <w:szCs w:val="26"/>
        </w:rPr>
      </w:pPr>
      <w:r w:rsidRPr="00A95405">
        <w:rPr>
          <w:rFonts w:ascii="Times New Roman" w:hAnsi="Times New Roman" w:cs="Times New Roman"/>
          <w:sz w:val="26"/>
          <w:szCs w:val="26"/>
        </w:rPr>
        <w:t xml:space="preserve">Dịch vụ vận chuyển hàng hóa, một phần quan trọng của Sáng kiến Vành </w:t>
      </w:r>
      <w:proofErr w:type="gramStart"/>
      <w:r w:rsidRPr="00A95405">
        <w:rPr>
          <w:rFonts w:ascii="Times New Roman" w:hAnsi="Times New Roman" w:cs="Times New Roman"/>
          <w:sz w:val="26"/>
          <w:szCs w:val="26"/>
        </w:rPr>
        <w:t>đai</w:t>
      </w:r>
      <w:proofErr w:type="gramEnd"/>
      <w:r w:rsidRPr="00A95405">
        <w:rPr>
          <w:rFonts w:ascii="Times New Roman" w:hAnsi="Times New Roman" w:cs="Times New Roman"/>
          <w:sz w:val="26"/>
          <w:szCs w:val="26"/>
        </w:rPr>
        <w:t xml:space="preserve"> và Con đường, bắt đầu hoạt động vào tháng 3 năm 2011.</w:t>
      </w:r>
      <w:r>
        <w:rPr>
          <w:rFonts w:ascii="Times New Roman" w:hAnsi="Times New Roman" w:cs="Times New Roman"/>
          <w:sz w:val="26"/>
          <w:szCs w:val="26"/>
        </w:rPr>
        <w:t xml:space="preserve"> </w:t>
      </w:r>
      <w:r w:rsidRPr="00A95405">
        <w:rPr>
          <w:rFonts w:ascii="Times New Roman" w:hAnsi="Times New Roman" w:cs="Times New Roman"/>
          <w:sz w:val="26"/>
          <w:szCs w:val="26"/>
        </w:rPr>
        <w:t>Trong những năm qua, các đoàn tàu dọc tuyến đườ</w:t>
      </w:r>
      <w:r>
        <w:rPr>
          <w:rFonts w:ascii="Times New Roman" w:hAnsi="Times New Roman" w:cs="Times New Roman"/>
          <w:sz w:val="26"/>
          <w:szCs w:val="26"/>
        </w:rPr>
        <w:t xml:space="preserve">ng này chuyên chở </w:t>
      </w:r>
      <w:r w:rsidRPr="00A95405">
        <w:rPr>
          <w:rFonts w:ascii="Times New Roman" w:hAnsi="Times New Roman" w:cs="Times New Roman"/>
          <w:sz w:val="26"/>
          <w:szCs w:val="26"/>
        </w:rPr>
        <w:t xml:space="preserve">hàng may mặc, phụ tùng ô tô, hóa chất và các hàng hóa khác của Trung Quốc </w:t>
      </w:r>
      <w:r>
        <w:rPr>
          <w:rFonts w:ascii="Times New Roman" w:hAnsi="Times New Roman" w:cs="Times New Roman"/>
          <w:sz w:val="26"/>
          <w:szCs w:val="26"/>
        </w:rPr>
        <w:t>tới</w:t>
      </w:r>
      <w:r w:rsidRPr="00A95405">
        <w:rPr>
          <w:rFonts w:ascii="Times New Roman" w:hAnsi="Times New Roman" w:cs="Times New Roman"/>
          <w:sz w:val="26"/>
          <w:szCs w:val="26"/>
        </w:rPr>
        <w:t xml:space="preserve"> châu Âu, </w:t>
      </w:r>
      <w:r>
        <w:rPr>
          <w:rFonts w:ascii="Times New Roman" w:hAnsi="Times New Roman" w:cs="Times New Roman"/>
          <w:sz w:val="26"/>
          <w:szCs w:val="26"/>
        </w:rPr>
        <w:t>và ở chiều về vận chuyển</w:t>
      </w:r>
      <w:r w:rsidRPr="00A95405">
        <w:rPr>
          <w:rFonts w:ascii="Times New Roman" w:hAnsi="Times New Roman" w:cs="Times New Roman"/>
          <w:sz w:val="26"/>
          <w:szCs w:val="26"/>
        </w:rPr>
        <w:t xml:space="preserve"> thực phẩm, máy móc, thiết bị và gỗ củ</w:t>
      </w:r>
      <w:r>
        <w:rPr>
          <w:rFonts w:ascii="Times New Roman" w:hAnsi="Times New Roman" w:cs="Times New Roman"/>
          <w:sz w:val="26"/>
          <w:szCs w:val="26"/>
        </w:rPr>
        <w:t>a châu Âu tới Trung Quốc.</w:t>
      </w:r>
    </w:p>
    <w:p w:rsidR="004F60C6" w:rsidRPr="004F60C6" w:rsidRDefault="004F60C6" w:rsidP="004F60C6">
      <w:pPr>
        <w:spacing w:line="312" w:lineRule="auto"/>
        <w:ind w:firstLine="720"/>
        <w:jc w:val="both"/>
        <w:rPr>
          <w:rFonts w:ascii="Times New Roman" w:hAnsi="Times New Roman" w:cs="Times New Roman"/>
          <w:sz w:val="26"/>
          <w:szCs w:val="26"/>
        </w:rPr>
      </w:pPr>
      <w:r w:rsidRPr="004F60C6">
        <w:rPr>
          <w:rFonts w:ascii="Times New Roman" w:hAnsi="Times New Roman" w:cs="Times New Roman"/>
          <w:sz w:val="26"/>
          <w:szCs w:val="26"/>
        </w:rPr>
        <w:lastRenderedPageBreak/>
        <w:t>Hầu hết các hành trình là giữa các thành phố của Đức và Trung Quốc, nhưng có những chuyế</w:t>
      </w:r>
      <w:r w:rsidR="00BB64CB">
        <w:rPr>
          <w:rFonts w:ascii="Times New Roman" w:hAnsi="Times New Roman" w:cs="Times New Roman"/>
          <w:sz w:val="26"/>
          <w:szCs w:val="26"/>
        </w:rPr>
        <w:t xml:space="preserve">n đi dài hơn, trong đó tuyến </w:t>
      </w:r>
      <w:r w:rsidRPr="004F60C6">
        <w:rPr>
          <w:rFonts w:ascii="Times New Roman" w:hAnsi="Times New Roman" w:cs="Times New Roman"/>
          <w:sz w:val="26"/>
          <w:szCs w:val="26"/>
        </w:rPr>
        <w:t>dài nhất chạy giữa Nghĩa Ô</w:t>
      </w:r>
      <w:r>
        <w:rPr>
          <w:rFonts w:ascii="Times New Roman" w:hAnsi="Times New Roman" w:cs="Times New Roman"/>
          <w:sz w:val="26"/>
          <w:szCs w:val="26"/>
        </w:rPr>
        <w:t xml:space="preserve"> (Yuwi)- Trung Quốc</w:t>
      </w:r>
      <w:r w:rsidRPr="004F60C6">
        <w:rPr>
          <w:rFonts w:ascii="Times New Roman" w:hAnsi="Times New Roman" w:cs="Times New Roman"/>
          <w:sz w:val="26"/>
          <w:szCs w:val="26"/>
        </w:rPr>
        <w:t xml:space="preserve"> và Madrid</w:t>
      </w:r>
      <w:r>
        <w:rPr>
          <w:rFonts w:ascii="Times New Roman" w:hAnsi="Times New Roman" w:cs="Times New Roman"/>
          <w:sz w:val="26"/>
          <w:szCs w:val="26"/>
        </w:rPr>
        <w:t>- Tây Ban Nha</w:t>
      </w:r>
      <w:r w:rsidRPr="004F60C6">
        <w:rPr>
          <w:rFonts w:ascii="Times New Roman" w:hAnsi="Times New Roman" w:cs="Times New Roman"/>
          <w:sz w:val="26"/>
          <w:szCs w:val="26"/>
        </w:rPr>
        <w:t>, tuyến đường dài 12,874km giữ kỷ lục dài nhất thế giới, trước Nghĩa Ô đế</w:t>
      </w:r>
      <w:r>
        <w:rPr>
          <w:rFonts w:ascii="Times New Roman" w:hAnsi="Times New Roman" w:cs="Times New Roman"/>
          <w:sz w:val="26"/>
          <w:szCs w:val="26"/>
        </w:rPr>
        <w:t>n chi nhánh Luân Đôn.</w:t>
      </w:r>
    </w:p>
    <w:p w:rsidR="004F60C6" w:rsidRPr="004F60C6" w:rsidRDefault="004F60C6" w:rsidP="004F60C6">
      <w:pPr>
        <w:spacing w:line="312" w:lineRule="auto"/>
        <w:ind w:firstLine="720"/>
        <w:jc w:val="both"/>
        <w:rPr>
          <w:rFonts w:ascii="Times New Roman" w:hAnsi="Times New Roman" w:cs="Times New Roman"/>
          <w:sz w:val="26"/>
          <w:szCs w:val="26"/>
        </w:rPr>
      </w:pPr>
      <w:r w:rsidRPr="004F60C6">
        <w:rPr>
          <w:rFonts w:ascii="Times New Roman" w:hAnsi="Times New Roman" w:cs="Times New Roman"/>
          <w:sz w:val="26"/>
          <w:szCs w:val="26"/>
        </w:rPr>
        <w:t xml:space="preserve">Động lực cho sự phát triển của hệ thống đường sắt </w:t>
      </w:r>
      <w:r w:rsidR="00BB64CB">
        <w:rPr>
          <w:rFonts w:ascii="Times New Roman" w:hAnsi="Times New Roman" w:cs="Times New Roman"/>
          <w:sz w:val="26"/>
          <w:szCs w:val="26"/>
        </w:rPr>
        <w:t>là do</w:t>
      </w:r>
      <w:r w:rsidRPr="004F60C6">
        <w:rPr>
          <w:rFonts w:ascii="Times New Roman" w:hAnsi="Times New Roman" w:cs="Times New Roman"/>
          <w:sz w:val="26"/>
          <w:szCs w:val="26"/>
        </w:rPr>
        <w:t xml:space="preserve"> Trung Quốc</w:t>
      </w:r>
      <w:r w:rsidR="00BB64CB">
        <w:rPr>
          <w:rFonts w:ascii="Times New Roman" w:hAnsi="Times New Roman" w:cs="Times New Roman"/>
          <w:sz w:val="26"/>
          <w:szCs w:val="26"/>
        </w:rPr>
        <w:t xml:space="preserve"> có</w:t>
      </w:r>
      <w:r w:rsidRPr="004F60C6">
        <w:rPr>
          <w:rFonts w:ascii="Times New Roman" w:hAnsi="Times New Roman" w:cs="Times New Roman"/>
          <w:sz w:val="26"/>
          <w:szCs w:val="26"/>
        </w:rPr>
        <w:t xml:space="preserve"> thặng dư thương mại 176 tỷ đô la vớ</w:t>
      </w:r>
      <w:r>
        <w:rPr>
          <w:rFonts w:ascii="Times New Roman" w:hAnsi="Times New Roman" w:cs="Times New Roman"/>
          <w:sz w:val="26"/>
          <w:szCs w:val="26"/>
        </w:rPr>
        <w:t>i EU.</w:t>
      </w:r>
    </w:p>
    <w:p w:rsidR="004F60C6" w:rsidRPr="004F60C6" w:rsidRDefault="004F60C6" w:rsidP="004F60C6">
      <w:pPr>
        <w:spacing w:line="312" w:lineRule="auto"/>
        <w:ind w:firstLine="720"/>
        <w:jc w:val="both"/>
        <w:rPr>
          <w:rFonts w:ascii="Times New Roman" w:hAnsi="Times New Roman" w:cs="Times New Roman"/>
          <w:sz w:val="26"/>
          <w:szCs w:val="26"/>
        </w:rPr>
      </w:pPr>
      <w:r w:rsidRPr="004F60C6">
        <w:rPr>
          <w:rFonts w:ascii="Times New Roman" w:hAnsi="Times New Roman" w:cs="Times New Roman"/>
          <w:sz w:val="26"/>
          <w:szCs w:val="26"/>
        </w:rPr>
        <w:t xml:space="preserve">Tuy nhiên, châu Âu xuất khẩu gần 200 tỷ đô la hàng hóa sang Trung Quốc mỗi năm và </w:t>
      </w:r>
      <w:r w:rsidR="00BB64CB">
        <w:rPr>
          <w:rFonts w:ascii="Times New Roman" w:hAnsi="Times New Roman" w:cs="Times New Roman"/>
          <w:sz w:val="26"/>
          <w:szCs w:val="26"/>
        </w:rPr>
        <w:t xml:space="preserve">và mức tăng </w:t>
      </w:r>
      <w:r w:rsidRPr="004F60C6">
        <w:rPr>
          <w:rFonts w:ascii="Times New Roman" w:hAnsi="Times New Roman" w:cs="Times New Roman"/>
          <w:sz w:val="26"/>
          <w:szCs w:val="26"/>
        </w:rPr>
        <w:t xml:space="preserve">350% hàng năm </w:t>
      </w:r>
      <w:r w:rsidR="00BB64CB">
        <w:rPr>
          <w:rFonts w:ascii="Times New Roman" w:hAnsi="Times New Roman" w:cs="Times New Roman"/>
          <w:sz w:val="26"/>
          <w:szCs w:val="26"/>
        </w:rPr>
        <w:t xml:space="preserve">giúp vận tải ở chiều về (từ </w:t>
      </w:r>
      <w:proofErr w:type="gramStart"/>
      <w:r w:rsidR="00BB64CB">
        <w:rPr>
          <w:rFonts w:ascii="Times New Roman" w:hAnsi="Times New Roman" w:cs="Times New Roman"/>
          <w:sz w:val="26"/>
          <w:szCs w:val="26"/>
        </w:rPr>
        <w:t>châu  Âu</w:t>
      </w:r>
      <w:proofErr w:type="gramEnd"/>
      <w:r w:rsidR="00BB64CB">
        <w:rPr>
          <w:rFonts w:ascii="Times New Roman" w:hAnsi="Times New Roman" w:cs="Times New Roman"/>
          <w:sz w:val="26"/>
          <w:szCs w:val="26"/>
        </w:rPr>
        <w:t xml:space="preserve"> về Trung Quốc) cũng trở nên nhộn nhịp hơn. </w:t>
      </w:r>
    </w:p>
    <w:p w:rsidR="004F60C6" w:rsidRDefault="00BB64CB" w:rsidP="004F60C6">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Ngoài ra, </w:t>
      </w:r>
      <w:r w:rsidR="004F60C6">
        <w:rPr>
          <w:rFonts w:ascii="Times New Roman" w:hAnsi="Times New Roman" w:cs="Times New Roman"/>
          <w:sz w:val="26"/>
          <w:szCs w:val="26"/>
        </w:rPr>
        <w:t>Vận chuyển</w:t>
      </w:r>
      <w:r w:rsidR="004F60C6" w:rsidRPr="004F60C6">
        <w:rPr>
          <w:rFonts w:ascii="Times New Roman" w:hAnsi="Times New Roman" w:cs="Times New Roman"/>
          <w:sz w:val="26"/>
          <w:szCs w:val="26"/>
        </w:rPr>
        <w:t xml:space="preserve"> đường sắt hiệ</w:t>
      </w:r>
      <w:r w:rsidR="004F60C6">
        <w:rPr>
          <w:rFonts w:ascii="Times New Roman" w:hAnsi="Times New Roman" w:cs="Times New Roman"/>
          <w:sz w:val="26"/>
          <w:szCs w:val="26"/>
        </w:rPr>
        <w:t xml:space="preserve">n hiện đang đóng góp tỷ trọng lớn trong </w:t>
      </w:r>
      <w:r w:rsidR="004F60C6" w:rsidRPr="004F60C6">
        <w:rPr>
          <w:rFonts w:ascii="Times New Roman" w:hAnsi="Times New Roman" w:cs="Times New Roman"/>
          <w:sz w:val="26"/>
          <w:szCs w:val="26"/>
        </w:rPr>
        <w:t>của dịch vụ bưu chính Trung Quốc Châu Âu.</w:t>
      </w:r>
      <w:proofErr w:type="gramEnd"/>
    </w:p>
    <w:p w:rsidR="004F60C6" w:rsidRPr="004F60C6" w:rsidRDefault="004F60C6" w:rsidP="004F60C6">
      <w:pPr>
        <w:spacing w:line="312" w:lineRule="auto"/>
        <w:ind w:firstLine="720"/>
        <w:jc w:val="both"/>
        <w:rPr>
          <w:rFonts w:ascii="Times New Roman" w:hAnsi="Times New Roman" w:cs="Times New Roman"/>
          <w:sz w:val="26"/>
          <w:szCs w:val="26"/>
        </w:rPr>
      </w:pPr>
      <w:r w:rsidRPr="004F60C6">
        <w:rPr>
          <w:rFonts w:ascii="Times New Roman" w:hAnsi="Times New Roman" w:cs="Times New Roman"/>
          <w:sz w:val="26"/>
          <w:szCs w:val="26"/>
        </w:rPr>
        <w:t xml:space="preserve">Một chuyến </w:t>
      </w:r>
      <w:r>
        <w:rPr>
          <w:rFonts w:ascii="Times New Roman" w:hAnsi="Times New Roman" w:cs="Times New Roman"/>
          <w:sz w:val="26"/>
          <w:szCs w:val="26"/>
        </w:rPr>
        <w:t>tàu tuyến</w:t>
      </w:r>
      <w:r w:rsidRPr="004F60C6">
        <w:rPr>
          <w:rFonts w:ascii="Times New Roman" w:hAnsi="Times New Roman" w:cs="Times New Roman"/>
          <w:sz w:val="26"/>
          <w:szCs w:val="26"/>
        </w:rPr>
        <w:t xml:space="preserve"> Á-Âu </w:t>
      </w:r>
      <w:r>
        <w:rPr>
          <w:rFonts w:ascii="Times New Roman" w:hAnsi="Times New Roman" w:cs="Times New Roman"/>
          <w:sz w:val="26"/>
          <w:szCs w:val="26"/>
        </w:rPr>
        <w:t>có lộ trình</w:t>
      </w:r>
      <w:r w:rsidRPr="004F60C6">
        <w:rPr>
          <w:rFonts w:ascii="Times New Roman" w:hAnsi="Times New Roman" w:cs="Times New Roman"/>
          <w:sz w:val="26"/>
          <w:szCs w:val="26"/>
        </w:rPr>
        <w:t xml:space="preserve"> 16 ngày </w:t>
      </w:r>
      <w:r>
        <w:rPr>
          <w:rFonts w:ascii="Times New Roman" w:hAnsi="Times New Roman" w:cs="Times New Roman"/>
          <w:sz w:val="26"/>
          <w:szCs w:val="26"/>
        </w:rPr>
        <w:t>và có thể giảm</w:t>
      </w:r>
      <w:r w:rsidRPr="004F60C6">
        <w:rPr>
          <w:rFonts w:ascii="Times New Roman" w:hAnsi="Times New Roman" w:cs="Times New Roman"/>
          <w:sz w:val="26"/>
          <w:szCs w:val="26"/>
        </w:rPr>
        <w:t xml:space="preserve"> xuống còn 14 ngày nếu cơ sở hạ tầng đường sắt Ba Lan được cải thiệ</w:t>
      </w:r>
      <w:r>
        <w:rPr>
          <w:rFonts w:ascii="Times New Roman" w:hAnsi="Times New Roman" w:cs="Times New Roman"/>
          <w:sz w:val="26"/>
          <w:szCs w:val="26"/>
        </w:rPr>
        <w:t xml:space="preserve">n. </w:t>
      </w:r>
      <w:r w:rsidRPr="004F60C6">
        <w:rPr>
          <w:rFonts w:ascii="Times New Roman" w:hAnsi="Times New Roman" w:cs="Times New Roman"/>
          <w:sz w:val="26"/>
          <w:szCs w:val="26"/>
        </w:rPr>
        <w:t>Đặc biệt, cần có thêm cần cẩu và không gian lưu trữ tại Małaszewicze, một ngôi làng Ba Lan và cảng khô gần biên giới Belorussia, nơi các đoàn tàu phải chuyển từ máy đo rộng của Nga sang máy đo tiêu chuẩ</w:t>
      </w:r>
      <w:r>
        <w:rPr>
          <w:rFonts w:ascii="Times New Roman" w:hAnsi="Times New Roman" w:cs="Times New Roman"/>
          <w:sz w:val="26"/>
          <w:szCs w:val="26"/>
        </w:rPr>
        <w:t>n châu Âu.</w:t>
      </w:r>
    </w:p>
    <w:p w:rsidR="004F60C6" w:rsidRPr="004F60C6" w:rsidRDefault="004F60C6" w:rsidP="004F60C6">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Cảng khô</w:t>
      </w:r>
      <w:r w:rsidRPr="004F60C6">
        <w:rPr>
          <w:rFonts w:ascii="Times New Roman" w:hAnsi="Times New Roman" w:cs="Times New Roman"/>
          <w:sz w:val="26"/>
          <w:szCs w:val="26"/>
        </w:rPr>
        <w:t xml:space="preserve"> tại Khorgos trên biên giới Trung Quốc với Kazakhstan, hiện là cảng khô lớn nhất thế giớ</w:t>
      </w:r>
      <w:r>
        <w:rPr>
          <w:rFonts w:ascii="Times New Roman" w:hAnsi="Times New Roman" w:cs="Times New Roman"/>
          <w:sz w:val="26"/>
          <w:szCs w:val="26"/>
        </w:rPr>
        <w:t>i.</w:t>
      </w:r>
      <w:proofErr w:type="gramEnd"/>
    </w:p>
    <w:p w:rsidR="004F60C6" w:rsidRPr="00A95405" w:rsidRDefault="004F60C6" w:rsidP="004F60C6">
      <w:pPr>
        <w:spacing w:line="312" w:lineRule="auto"/>
        <w:ind w:firstLine="720"/>
        <w:jc w:val="both"/>
        <w:rPr>
          <w:rFonts w:ascii="Times New Roman" w:hAnsi="Times New Roman" w:cs="Times New Roman"/>
          <w:sz w:val="26"/>
          <w:szCs w:val="26"/>
        </w:rPr>
      </w:pPr>
      <w:r w:rsidRPr="004F60C6">
        <w:rPr>
          <w:rFonts w:ascii="Times New Roman" w:hAnsi="Times New Roman" w:cs="Times New Roman"/>
          <w:sz w:val="26"/>
          <w:szCs w:val="26"/>
        </w:rPr>
        <w:t>Trong năm năm qua, giao dịch hàng hóa Trung Quốc với các quốc gia dọc theo Vành đai và Con đường đã vượt quá 5,5 nghìn tỷ đô la và đầu tư trực tiếp của Trung Quốc vào các lĩnh vực phi tài chính của các quốc gia này đạt 80 tỷ đô la trong cùng kỳ.</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2" w:name="_Toc535681057"/>
      <w:r w:rsidRPr="00AC37BB">
        <w:rPr>
          <w:rStyle w:val="Emphasis"/>
          <w:rFonts w:ascii="Times New Roman" w:hAnsi="Times New Roman" w:cs="Times New Roman"/>
          <w:b/>
          <w:sz w:val="26"/>
          <w:szCs w:val="26"/>
        </w:rPr>
        <w:t>Vận chuyển đường bộ</w:t>
      </w:r>
      <w:bookmarkEnd w:id="12"/>
    </w:p>
    <w:p w:rsidR="00674070" w:rsidRDefault="00C7687D"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Tháng </w:t>
      </w:r>
      <w:r w:rsidR="0054494F">
        <w:rPr>
          <w:rFonts w:ascii="Times New Roman" w:hAnsi="Times New Roman" w:cs="Times New Roman"/>
          <w:sz w:val="26"/>
          <w:szCs w:val="26"/>
        </w:rPr>
        <w:t>11</w:t>
      </w:r>
      <w:r w:rsidR="00A027FF">
        <w:rPr>
          <w:rFonts w:ascii="Times New Roman" w:hAnsi="Times New Roman" w:cs="Times New Roman"/>
          <w:sz w:val="26"/>
          <w:szCs w:val="26"/>
        </w:rPr>
        <w:t>/</w:t>
      </w:r>
      <w:r>
        <w:rPr>
          <w:rFonts w:ascii="Times New Roman" w:hAnsi="Times New Roman" w:cs="Times New Roman"/>
          <w:sz w:val="26"/>
          <w:szCs w:val="26"/>
        </w:rPr>
        <w:t>2018 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đạt 3</w:t>
      </w:r>
      <w:proofErr w:type="gramStart"/>
      <w:r w:rsidR="0054494F">
        <w:rPr>
          <w:rFonts w:ascii="Times New Roman" w:hAnsi="Times New Roman" w:cs="Times New Roman"/>
          <w:sz w:val="26"/>
          <w:szCs w:val="26"/>
        </w:rPr>
        <w:t>,72</w:t>
      </w:r>
      <w:proofErr w:type="gramEnd"/>
      <w:r w:rsidR="0054494F">
        <w:rPr>
          <w:rFonts w:ascii="Times New Roman" w:hAnsi="Times New Roman" w:cs="Times New Roman"/>
          <w:sz w:val="26"/>
          <w:szCs w:val="26"/>
        </w:rPr>
        <w:t xml:space="preserve"> tỷ tấn</w:t>
      </w:r>
      <w:r w:rsidR="00DE1410">
        <w:rPr>
          <w:rFonts w:ascii="Times New Roman" w:hAnsi="Times New Roman" w:cs="Times New Roman"/>
          <w:sz w:val="26"/>
          <w:szCs w:val="26"/>
        </w:rPr>
        <w:t>. Tính</w:t>
      </w:r>
      <w:r w:rsidR="0054494F">
        <w:rPr>
          <w:rFonts w:ascii="Times New Roman" w:hAnsi="Times New Roman" w:cs="Times New Roman"/>
          <w:sz w:val="26"/>
          <w:szCs w:val="26"/>
        </w:rPr>
        <w:t xml:space="preserve"> chung 11 </w:t>
      </w:r>
      <w:r w:rsidR="00674070">
        <w:rPr>
          <w:rFonts w:ascii="Times New Roman" w:hAnsi="Times New Roman" w:cs="Times New Roman"/>
          <w:sz w:val="26"/>
          <w:szCs w:val="26"/>
        </w:rPr>
        <w:t xml:space="preserve">tháng năm 2018, vận chuyển hàng hóa đường bộ đạt </w:t>
      </w:r>
      <w:r w:rsidR="0054494F">
        <w:rPr>
          <w:rFonts w:ascii="Times New Roman" w:hAnsi="Times New Roman" w:cs="Times New Roman"/>
          <w:sz w:val="26"/>
          <w:szCs w:val="26"/>
        </w:rPr>
        <w:t>39</w:t>
      </w:r>
      <w:proofErr w:type="gramStart"/>
      <w:r w:rsidR="0054494F">
        <w:rPr>
          <w:rFonts w:ascii="Times New Roman" w:hAnsi="Times New Roman" w:cs="Times New Roman"/>
          <w:sz w:val="26"/>
          <w:szCs w:val="26"/>
        </w:rPr>
        <w:t>,5</w:t>
      </w:r>
      <w:proofErr w:type="gramEnd"/>
      <w:r w:rsidR="00674070">
        <w:rPr>
          <w:rFonts w:ascii="Times New Roman" w:hAnsi="Times New Roman" w:cs="Times New Roman"/>
          <w:sz w:val="26"/>
          <w:szCs w:val="26"/>
        </w:rPr>
        <w:t xml:space="preserve"> tỷ tấ</w:t>
      </w:r>
      <w:r w:rsidR="0054494F">
        <w:rPr>
          <w:rFonts w:ascii="Times New Roman" w:hAnsi="Times New Roman" w:cs="Times New Roman"/>
          <w:sz w:val="26"/>
          <w:szCs w:val="26"/>
        </w:rPr>
        <w:t>n, tăng 7,4</w:t>
      </w:r>
      <w:r w:rsidR="00674070">
        <w:rPr>
          <w:rFonts w:ascii="Times New Roman" w:hAnsi="Times New Roman" w:cs="Times New Roman"/>
          <w:sz w:val="26"/>
          <w:szCs w:val="26"/>
        </w:rPr>
        <w:t xml:space="preserve">% so với cùng kỳ năm trước. </w:t>
      </w:r>
    </w:p>
    <w:p w:rsidR="006579EB" w:rsidRPr="00427128" w:rsidRDefault="006579EB"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Vận chuyển đường bộ tiếp tục chiếm tỷ trọng lớn nhất trong vận chuyển hàng hóa của Trung Quốc, thậm chí tỷ trọng này còn tăng, phản ánh rõ vận chuyển nội địa gia tăng tại nước này. </w:t>
      </w:r>
    </w:p>
    <w:p w:rsidR="0064258B" w:rsidRDefault="00EB066A" w:rsidP="0025748E">
      <w:pPr>
        <w:pStyle w:val="ListParagraph"/>
        <w:spacing w:line="312" w:lineRule="auto"/>
        <w:jc w:val="center"/>
        <w:rPr>
          <w:rFonts w:ascii="Times New Roman" w:hAnsi="Times New Roman" w:cs="Times New Roman"/>
          <w:b/>
          <w:bCs/>
          <w:sz w:val="26"/>
          <w:szCs w:val="26"/>
        </w:rPr>
      </w:pPr>
      <w:bookmarkStart w:id="13" w:name="_Toc535681067"/>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3"/>
      <w:r w:rsidR="0064258B">
        <w:rPr>
          <w:rFonts w:ascii="Times New Roman" w:hAnsi="Times New Roman" w:cs="Times New Roman"/>
          <w:b/>
          <w:bCs/>
          <w:sz w:val="26"/>
          <w:szCs w:val="26"/>
        </w:rPr>
        <w:t xml:space="preserve"> </w:t>
      </w:r>
    </w:p>
    <w:p w:rsidR="00427128" w:rsidRPr="00A027FF" w:rsidRDefault="00EB066A" w:rsidP="00A027FF">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427128">
        <w:rPr>
          <w:rFonts w:ascii="Times New Roman" w:hAnsi="Times New Roman" w:cs="Times New Roman"/>
          <w:b/>
          <w:bCs/>
          <w:sz w:val="26"/>
          <w:szCs w:val="26"/>
        </w:rPr>
        <w:t xml:space="preserve"> </w:t>
      </w:r>
      <w:r w:rsidR="0025748E" w:rsidRPr="00A027FF">
        <w:rPr>
          <w:rFonts w:ascii="Times New Roman" w:hAnsi="Times New Roman" w:cs="Times New Roman"/>
          <w:b/>
          <w:bCs/>
          <w:sz w:val="26"/>
          <w:szCs w:val="26"/>
        </w:rPr>
        <w:t>(đvt: 10.000 tấn)</w:t>
      </w:r>
    </w:p>
    <w:p w:rsidR="00FC4784" w:rsidRPr="00FC4784" w:rsidRDefault="00FE5014" w:rsidP="006579EB">
      <w:pPr>
        <w:pStyle w:val="ListParagraph"/>
        <w:spacing w:line="312" w:lineRule="auto"/>
        <w:ind w:left="0"/>
        <w:jc w:val="center"/>
        <w:rPr>
          <w:rStyle w:val="Emphasis"/>
          <w:rFonts w:ascii="Times New Roman" w:hAnsi="Times New Roman" w:cs="Times New Roman"/>
          <w:i w:val="0"/>
          <w:sz w:val="26"/>
          <w:szCs w:val="26"/>
        </w:rPr>
      </w:pPr>
      <w:r>
        <w:rPr>
          <w:noProof/>
        </w:rPr>
        <w:drawing>
          <wp:inline distT="0" distB="0" distL="0" distR="0" wp14:anchorId="1448E702" wp14:editId="4BD30042">
            <wp:extent cx="5080000" cy="252095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6DE" w:rsidRPr="000E1C76" w:rsidRDefault="00EB066A" w:rsidP="000E1C76">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sidR="000E1C76">
        <w:rPr>
          <w:rStyle w:val="Emphasis"/>
          <w:rFonts w:ascii="Times New Roman" w:hAnsi="Times New Roman" w:cs="Times New Roman"/>
          <w:sz w:val="26"/>
          <w:szCs w:val="26"/>
        </w:rPr>
        <w:t>c</w:t>
      </w:r>
    </w:p>
    <w:p w:rsidR="006579EB" w:rsidRPr="006579EB" w:rsidRDefault="0007459B" w:rsidP="006579E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35681058"/>
      <w:r w:rsidRPr="00AC37BB">
        <w:rPr>
          <w:rStyle w:val="Emphasis"/>
          <w:rFonts w:ascii="Times New Roman" w:hAnsi="Times New Roman" w:cs="Times New Roman"/>
          <w:b/>
          <w:sz w:val="26"/>
          <w:szCs w:val="26"/>
        </w:rPr>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4"/>
    </w:p>
    <w:p w:rsidR="006579EB" w:rsidRDefault="006579EB" w:rsidP="006579EB">
      <w:pPr>
        <w:shd w:val="clear" w:color="auto" w:fill="FFFFFF"/>
        <w:spacing w:after="177" w:line="312" w:lineRule="auto"/>
        <w:ind w:firstLine="720"/>
        <w:jc w:val="both"/>
        <w:rPr>
          <w:rStyle w:val="Emphasis"/>
          <w:rFonts w:ascii="Times New Roman" w:hAnsi="Times New Roman" w:cs="Times New Roman"/>
          <w:i w:val="0"/>
          <w:sz w:val="26"/>
          <w:szCs w:val="26"/>
        </w:rPr>
      </w:pPr>
      <w:r w:rsidRPr="00F72CDD">
        <w:rPr>
          <w:rStyle w:val="Emphasis"/>
          <w:rFonts w:ascii="Times New Roman" w:hAnsi="Times New Roman" w:cs="Times New Roman"/>
          <w:i w:val="0"/>
          <w:sz w:val="26"/>
          <w:szCs w:val="26"/>
        </w:rPr>
        <w:t xml:space="preserve">Giá vận chuyển một container từ Trung Quốc đến Hoa Kỳ đã tăng đáng kể </w:t>
      </w:r>
      <w:r>
        <w:rPr>
          <w:rStyle w:val="Emphasis"/>
          <w:rFonts w:ascii="Times New Roman" w:hAnsi="Times New Roman" w:cs="Times New Roman"/>
          <w:i w:val="0"/>
          <w:sz w:val="26"/>
          <w:szCs w:val="26"/>
        </w:rPr>
        <w:t xml:space="preserve">từ đầu tháng 12/2019. Do các chủ hàng chưa chắc chắn về mức thuế nhập khẩu đối với hàng hóa từ Trung Quốc vào Hoa Kỳ trong năm 2019 nên trong khi mức thuế mới chưa được áp dụng, nhiều chủ hàng đã đẩy mạnh xuất khẩu, dẫn đến chi phí gia tăng do cầu </w:t>
      </w:r>
      <w:proofErr w:type="gramStart"/>
      <w:r>
        <w:rPr>
          <w:rStyle w:val="Emphasis"/>
          <w:rFonts w:ascii="Times New Roman" w:hAnsi="Times New Roman" w:cs="Times New Roman"/>
          <w:i w:val="0"/>
          <w:sz w:val="26"/>
          <w:szCs w:val="26"/>
        </w:rPr>
        <w:t>cao</w:t>
      </w:r>
      <w:r>
        <w:rPr>
          <w:rStyle w:val="Emphasis"/>
          <w:rFonts w:ascii="Times New Roman" w:hAnsi="Times New Roman" w:cs="Times New Roman"/>
          <w:i w:val="0"/>
          <w:sz w:val="26"/>
          <w:szCs w:val="26"/>
        </w:rPr>
        <w:t>.</w:t>
      </w:r>
      <w:proofErr w:type="gramEnd"/>
    </w:p>
    <w:p w:rsidR="006579EB" w:rsidRDefault="006579EB" w:rsidP="006579EB">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F72CDD">
        <w:rPr>
          <w:rStyle w:val="Emphasis"/>
          <w:rFonts w:ascii="Times New Roman" w:hAnsi="Times New Roman" w:cs="Times New Roman"/>
          <w:i w:val="0"/>
          <w:sz w:val="26"/>
          <w:szCs w:val="26"/>
        </w:rPr>
        <w:t>Trung Quốc và Hoa Kỳ, hai nền kinh tế lớn nhất thế giới</w:t>
      </w:r>
      <w:r>
        <w:rPr>
          <w:rStyle w:val="Emphasis"/>
          <w:rFonts w:ascii="Times New Roman" w:hAnsi="Times New Roman" w:cs="Times New Roman"/>
          <w:i w:val="0"/>
          <w:sz w:val="26"/>
          <w:szCs w:val="26"/>
        </w:rPr>
        <w:t xml:space="preserve"> đã tiến hành cuộc chiến thuế quan đối với hàng hóa nhập khẩu từ bên </w:t>
      </w:r>
      <w:proofErr w:type="gramStart"/>
      <w:r>
        <w:rPr>
          <w:rStyle w:val="Emphasis"/>
          <w:rFonts w:ascii="Times New Roman" w:hAnsi="Times New Roman" w:cs="Times New Roman"/>
          <w:i w:val="0"/>
          <w:sz w:val="26"/>
          <w:szCs w:val="26"/>
        </w:rPr>
        <w:t>kia</w:t>
      </w:r>
      <w:proofErr w:type="gramEnd"/>
      <w:r>
        <w:rPr>
          <w:rStyle w:val="Emphasis"/>
          <w:rFonts w:ascii="Times New Roman" w:hAnsi="Times New Roman" w:cs="Times New Roman"/>
          <w:i w:val="0"/>
          <w:sz w:val="26"/>
          <w:szCs w:val="26"/>
        </w:rPr>
        <w:t>.</w:t>
      </w:r>
      <w:r w:rsidRPr="00F72CDD">
        <w:rPr>
          <w:rStyle w:val="Emphasis"/>
          <w:rFonts w:ascii="Times New Roman" w:hAnsi="Times New Roman" w:cs="Times New Roman"/>
          <w:i w:val="0"/>
          <w:sz w:val="26"/>
          <w:szCs w:val="26"/>
        </w:rPr>
        <w:t xml:space="preserve"> Những lo ngại ngày càng </w:t>
      </w:r>
      <w:r>
        <w:rPr>
          <w:rStyle w:val="Emphasis"/>
          <w:rFonts w:ascii="Times New Roman" w:hAnsi="Times New Roman" w:cs="Times New Roman"/>
          <w:i w:val="0"/>
          <w:sz w:val="26"/>
          <w:szCs w:val="26"/>
        </w:rPr>
        <w:t>tăng</w:t>
      </w:r>
      <w:r w:rsidRPr="00F72CDD">
        <w:rPr>
          <w:rStyle w:val="Emphasis"/>
          <w:rFonts w:ascii="Times New Roman" w:hAnsi="Times New Roman" w:cs="Times New Roman"/>
          <w:i w:val="0"/>
          <w:sz w:val="26"/>
          <w:szCs w:val="26"/>
        </w:rPr>
        <w:t xml:space="preserve"> về một cuộc chiến thương mại toàn diện đã </w:t>
      </w:r>
      <w:r>
        <w:rPr>
          <w:rStyle w:val="Emphasis"/>
          <w:rFonts w:ascii="Times New Roman" w:hAnsi="Times New Roman" w:cs="Times New Roman"/>
          <w:i w:val="0"/>
          <w:sz w:val="26"/>
          <w:szCs w:val="26"/>
        </w:rPr>
        <w:t>thúc đẩy</w:t>
      </w:r>
      <w:r w:rsidRPr="00F72CDD">
        <w:rPr>
          <w:rStyle w:val="Emphasis"/>
          <w:rFonts w:ascii="Times New Roman" w:hAnsi="Times New Roman" w:cs="Times New Roman"/>
          <w:i w:val="0"/>
          <w:sz w:val="26"/>
          <w:szCs w:val="26"/>
        </w:rPr>
        <w:t xml:space="preserve"> cho các nhà xuất khẩu </w:t>
      </w:r>
      <w:r>
        <w:rPr>
          <w:rStyle w:val="Emphasis"/>
          <w:rFonts w:ascii="Times New Roman" w:hAnsi="Times New Roman" w:cs="Times New Roman"/>
          <w:i w:val="0"/>
          <w:sz w:val="26"/>
          <w:szCs w:val="26"/>
        </w:rPr>
        <w:t>đẩy sớm ngày</w:t>
      </w:r>
      <w:r w:rsidRPr="00F72CDD">
        <w:rPr>
          <w:rStyle w:val="Emphasis"/>
          <w:rFonts w:ascii="Times New Roman" w:hAnsi="Times New Roman" w:cs="Times New Roman"/>
          <w:i w:val="0"/>
          <w:sz w:val="26"/>
          <w:szCs w:val="26"/>
        </w:rPr>
        <w:t xml:space="preserve"> giao hàng</w:t>
      </w:r>
      <w:r>
        <w:rPr>
          <w:rStyle w:val="Emphasis"/>
          <w:rFonts w:ascii="Times New Roman" w:hAnsi="Times New Roman" w:cs="Times New Roman"/>
          <w:i w:val="0"/>
          <w:sz w:val="26"/>
          <w:szCs w:val="26"/>
        </w:rPr>
        <w:t xml:space="preserve"> để tránh thuế. C</w:t>
      </w:r>
      <w:r w:rsidRPr="00F72CDD">
        <w:rPr>
          <w:rStyle w:val="Emphasis"/>
          <w:rFonts w:ascii="Times New Roman" w:hAnsi="Times New Roman" w:cs="Times New Roman"/>
          <w:i w:val="0"/>
          <w:sz w:val="26"/>
          <w:szCs w:val="26"/>
        </w:rPr>
        <w:t xml:space="preserve">ác nhà xuất khẩu Trung Quốc đã gấp rút đưa hàng hóa đến các cảng của Hoa Kỳ trước khi thuế quan mới có hiệu lực, nhưng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các chuyên gia </w:t>
      </w:r>
      <w:r w:rsidRPr="00F72CDD">
        <w:rPr>
          <w:rStyle w:val="Emphasis"/>
          <w:rFonts w:ascii="Times New Roman" w:hAnsi="Times New Roman" w:cs="Times New Roman"/>
          <w:i w:val="0"/>
          <w:sz w:val="26"/>
          <w:szCs w:val="26"/>
        </w:rPr>
        <w:t xml:space="preserve">xu hướng này có thể sắp </w:t>
      </w:r>
      <w:r>
        <w:rPr>
          <w:rStyle w:val="Emphasis"/>
          <w:rFonts w:ascii="Times New Roman" w:hAnsi="Times New Roman" w:cs="Times New Roman"/>
          <w:i w:val="0"/>
          <w:sz w:val="26"/>
          <w:szCs w:val="26"/>
        </w:rPr>
        <w:t>dừng lại.</w:t>
      </w:r>
    </w:p>
    <w:p w:rsidR="006579EB" w:rsidRPr="00F72CDD" w:rsidRDefault="006579EB" w:rsidP="006579EB">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w:t>
      </w:r>
      <w:r w:rsidRPr="00F72CDD">
        <w:rPr>
          <w:rStyle w:val="Emphasis"/>
          <w:rFonts w:ascii="Times New Roman" w:hAnsi="Times New Roman" w:cs="Times New Roman"/>
          <w:i w:val="0"/>
          <w:sz w:val="26"/>
          <w:szCs w:val="26"/>
        </w:rPr>
        <w:t xml:space="preserve">heo dữ liệu từ Freightos, </w:t>
      </w:r>
      <w:r>
        <w:rPr>
          <w:rStyle w:val="Emphasis"/>
          <w:rFonts w:ascii="Times New Roman" w:hAnsi="Times New Roman" w:cs="Times New Roman"/>
          <w:i w:val="0"/>
          <w:sz w:val="26"/>
          <w:szCs w:val="26"/>
        </w:rPr>
        <w:t>một công ty</w:t>
      </w:r>
      <w:r w:rsidRPr="00F72CDD">
        <w:rPr>
          <w:rStyle w:val="Emphasis"/>
          <w:rFonts w:ascii="Times New Roman" w:hAnsi="Times New Roman" w:cs="Times New Roman"/>
          <w:i w:val="0"/>
          <w:sz w:val="26"/>
          <w:szCs w:val="26"/>
        </w:rPr>
        <w:t xml:space="preserve"> vận chuyển hàng hóa trực tuyến, giá cước vận chuyển cho các container đi từ Trung Quốc đến Hoa Kỳ đã tăng hơn 100% so với một năm trước, kể từ đầu tháng 12</w:t>
      </w:r>
      <w:r>
        <w:rPr>
          <w:rStyle w:val="Emphasis"/>
          <w:rFonts w:ascii="Times New Roman" w:hAnsi="Times New Roman" w:cs="Times New Roman"/>
          <w:i w:val="0"/>
          <w:sz w:val="26"/>
          <w:szCs w:val="26"/>
        </w:rPr>
        <w:t>/2018.</w:t>
      </w:r>
    </w:p>
    <w:p w:rsidR="00515D9C" w:rsidRDefault="006579EB" w:rsidP="008A5CDB">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số liệu của Cơ quan thống kê quốc gia Trung Quốc, v</w:t>
      </w:r>
      <w:r w:rsidR="00674070">
        <w:rPr>
          <w:rStyle w:val="Emphasis"/>
          <w:rFonts w:ascii="Times New Roman" w:hAnsi="Times New Roman" w:cs="Times New Roman"/>
          <w:i w:val="0"/>
          <w:sz w:val="26"/>
          <w:szCs w:val="26"/>
        </w:rPr>
        <w:t>ậ</w:t>
      </w:r>
      <w:r w:rsidR="0064258B" w:rsidRPr="00261835">
        <w:rPr>
          <w:rStyle w:val="Emphasis"/>
          <w:rFonts w:ascii="Times New Roman" w:hAnsi="Times New Roman" w:cs="Times New Roman"/>
          <w:i w:val="0"/>
          <w:sz w:val="26"/>
          <w:szCs w:val="26"/>
        </w:rPr>
        <w:t>n chuyển hàng hóa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sidR="00A81298">
        <w:rPr>
          <w:rStyle w:val="Emphasis"/>
          <w:rFonts w:ascii="Times New Roman" w:hAnsi="Times New Roman" w:cs="Times New Roman"/>
          <w:i w:val="0"/>
          <w:sz w:val="26"/>
          <w:szCs w:val="26"/>
        </w:rPr>
        <w:t>651</w:t>
      </w:r>
      <w:r w:rsidR="00674070">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A81298">
        <w:rPr>
          <w:rStyle w:val="Emphasis"/>
          <w:rFonts w:ascii="Times New Roman" w:hAnsi="Times New Roman" w:cs="Times New Roman"/>
          <w:i w:val="0"/>
          <w:sz w:val="26"/>
          <w:szCs w:val="26"/>
        </w:rPr>
        <w:t xml:space="preserve"> trong tháng 11</w:t>
      </w:r>
      <w:r w:rsidR="00515D9C">
        <w:rPr>
          <w:rStyle w:val="Emphasis"/>
          <w:rFonts w:ascii="Times New Roman" w:hAnsi="Times New Roman" w:cs="Times New Roman"/>
          <w:i w:val="0"/>
          <w:sz w:val="26"/>
          <w:szCs w:val="26"/>
        </w:rPr>
        <w:t>/2018</w:t>
      </w:r>
      <w:r w:rsidR="002D1534" w:rsidRPr="00261835">
        <w:rPr>
          <w:rStyle w:val="Emphasis"/>
          <w:rFonts w:ascii="Times New Roman" w:hAnsi="Times New Roman" w:cs="Times New Roman"/>
          <w:i w:val="0"/>
          <w:sz w:val="26"/>
          <w:szCs w:val="26"/>
        </w:rPr>
        <w:t xml:space="preserve">, </w:t>
      </w:r>
      <w:r w:rsidR="00DE1410">
        <w:rPr>
          <w:rStyle w:val="Emphasis"/>
          <w:rFonts w:ascii="Times New Roman" w:hAnsi="Times New Roman" w:cs="Times New Roman"/>
          <w:i w:val="0"/>
          <w:sz w:val="26"/>
          <w:szCs w:val="26"/>
        </w:rPr>
        <w:t xml:space="preserve">tăng </w:t>
      </w:r>
      <w:r w:rsidR="00A81298">
        <w:rPr>
          <w:rStyle w:val="Emphasis"/>
          <w:rFonts w:ascii="Times New Roman" w:hAnsi="Times New Roman" w:cs="Times New Roman"/>
          <w:i w:val="0"/>
          <w:sz w:val="26"/>
          <w:szCs w:val="26"/>
        </w:rPr>
        <w:t>7,4</w:t>
      </w:r>
      <w:r w:rsidR="00261835" w:rsidRPr="00261835">
        <w:rPr>
          <w:rStyle w:val="Emphasis"/>
          <w:rFonts w:ascii="Times New Roman" w:hAnsi="Times New Roman" w:cs="Times New Roman"/>
          <w:i w:val="0"/>
          <w:sz w:val="26"/>
          <w:szCs w:val="26"/>
        </w:rPr>
        <w:t xml:space="preserve">% so với </w:t>
      </w:r>
      <w:r w:rsidR="00DE1410">
        <w:rPr>
          <w:rStyle w:val="Emphasis"/>
          <w:rFonts w:ascii="Times New Roman" w:hAnsi="Times New Roman" w:cs="Times New Roman"/>
          <w:i w:val="0"/>
          <w:sz w:val="26"/>
          <w:szCs w:val="26"/>
        </w:rPr>
        <w:t xml:space="preserve">cùng kỳ năm trước. </w:t>
      </w:r>
    </w:p>
    <w:p w:rsidR="00392A7A" w:rsidRPr="00261835" w:rsidRDefault="002D1534" w:rsidP="00515D9C">
      <w:pPr>
        <w:spacing w:line="312" w:lineRule="auto"/>
        <w:ind w:firstLine="720"/>
        <w:jc w:val="both"/>
        <w:rPr>
          <w:rStyle w:val="Emphasis"/>
          <w:rFonts w:ascii="Times New Roman" w:hAnsi="Times New Roman" w:cs="Times New Roman"/>
          <w:i w:val="0"/>
          <w:sz w:val="26"/>
          <w:szCs w:val="26"/>
        </w:rPr>
      </w:pPr>
      <w:r w:rsidRPr="00261835">
        <w:rPr>
          <w:rStyle w:val="Emphasis"/>
          <w:rFonts w:ascii="Times New Roman" w:hAnsi="Times New Roman" w:cs="Times New Roman"/>
          <w:i w:val="0"/>
          <w:sz w:val="26"/>
          <w:szCs w:val="26"/>
        </w:rPr>
        <w:t xml:space="preserve">Tính chung </w:t>
      </w:r>
      <w:r w:rsidR="00A81298">
        <w:rPr>
          <w:rStyle w:val="Emphasis"/>
          <w:rFonts w:ascii="Times New Roman" w:hAnsi="Times New Roman" w:cs="Times New Roman"/>
          <w:i w:val="0"/>
          <w:sz w:val="26"/>
          <w:szCs w:val="26"/>
        </w:rPr>
        <w:t>11</w:t>
      </w:r>
      <w:r w:rsidRPr="00261835">
        <w:rPr>
          <w:rStyle w:val="Emphasis"/>
          <w:rFonts w:ascii="Times New Roman" w:hAnsi="Times New Roman" w:cs="Times New Roman"/>
          <w:i w:val="0"/>
          <w:sz w:val="26"/>
          <w:szCs w:val="26"/>
        </w:rPr>
        <w:t xml:space="preserve"> tháng đầu năm 2018, vận chuyển hàng hóa bằng đường thủy của Trung Quốc đạt </w:t>
      </w:r>
      <w:r w:rsidR="00A81298">
        <w:rPr>
          <w:rStyle w:val="Emphasis"/>
          <w:rFonts w:ascii="Times New Roman" w:hAnsi="Times New Roman" w:cs="Times New Roman"/>
          <w:i w:val="0"/>
          <w:sz w:val="26"/>
          <w:szCs w:val="26"/>
        </w:rPr>
        <w:t>trên 6</w:t>
      </w:r>
      <w:proofErr w:type="gramStart"/>
      <w:r w:rsidR="00515D9C">
        <w:rPr>
          <w:rStyle w:val="Emphasis"/>
          <w:rFonts w:ascii="Times New Roman" w:hAnsi="Times New Roman" w:cs="Times New Roman"/>
          <w:i w:val="0"/>
          <w:sz w:val="26"/>
          <w:szCs w:val="26"/>
        </w:rPr>
        <w:t>,</w:t>
      </w:r>
      <w:r w:rsidR="00A81298">
        <w:rPr>
          <w:rStyle w:val="Emphasis"/>
          <w:rFonts w:ascii="Times New Roman" w:hAnsi="Times New Roman" w:cs="Times New Roman"/>
          <w:i w:val="0"/>
          <w:sz w:val="26"/>
          <w:szCs w:val="26"/>
        </w:rPr>
        <w:t>4</w:t>
      </w:r>
      <w:proofErr w:type="gramEnd"/>
      <w:r w:rsidR="00515D9C">
        <w:rPr>
          <w:rStyle w:val="Emphasis"/>
          <w:rFonts w:ascii="Times New Roman" w:hAnsi="Times New Roman" w:cs="Times New Roman"/>
          <w:i w:val="0"/>
          <w:sz w:val="26"/>
          <w:szCs w:val="26"/>
        </w:rPr>
        <w:t xml:space="preserve"> tỷ tấn, tăng 4,</w:t>
      </w:r>
      <w:r w:rsidR="00A81298">
        <w:rPr>
          <w:rStyle w:val="Emphasis"/>
          <w:rFonts w:ascii="Times New Roman" w:hAnsi="Times New Roman" w:cs="Times New Roman"/>
          <w:i w:val="0"/>
          <w:sz w:val="26"/>
          <w:szCs w:val="26"/>
        </w:rPr>
        <w:t>7</w:t>
      </w:r>
      <w:r w:rsidRPr="00261835">
        <w:rPr>
          <w:rStyle w:val="Emphasis"/>
          <w:rFonts w:ascii="Times New Roman" w:hAnsi="Times New Roman" w:cs="Times New Roman"/>
          <w:i w:val="0"/>
          <w:sz w:val="26"/>
          <w:szCs w:val="26"/>
        </w:rPr>
        <w:t xml:space="preserve">% so với cùng kỳ năm 2017. </w:t>
      </w:r>
      <w:proofErr w:type="gramStart"/>
      <w:r w:rsidR="00A81298">
        <w:rPr>
          <w:rStyle w:val="Emphasis"/>
          <w:rFonts w:ascii="Times New Roman" w:hAnsi="Times New Roman" w:cs="Times New Roman"/>
          <w:i w:val="0"/>
          <w:sz w:val="26"/>
          <w:szCs w:val="26"/>
        </w:rPr>
        <w:t>Mức tăng trưởng này thấp hơn so với vận tải bằng đường sắt và đường bộ</w:t>
      </w:r>
      <w:r w:rsidR="00515D9C">
        <w:rPr>
          <w:rStyle w:val="Emphasis"/>
          <w:rFonts w:ascii="Times New Roman" w:hAnsi="Times New Roman" w:cs="Times New Roman"/>
          <w:i w:val="0"/>
          <w:sz w:val="26"/>
          <w:szCs w:val="26"/>
        </w:rPr>
        <w:t>.</w:t>
      </w:r>
      <w:proofErr w:type="gramEnd"/>
      <w:r w:rsidR="00515D9C">
        <w:rPr>
          <w:rStyle w:val="Emphasis"/>
          <w:rFonts w:ascii="Times New Roman" w:hAnsi="Times New Roman" w:cs="Times New Roman"/>
          <w:i w:val="0"/>
          <w:sz w:val="26"/>
          <w:szCs w:val="26"/>
        </w:rPr>
        <w:t xml:space="preserve"> </w:t>
      </w:r>
    </w:p>
    <w:p w:rsidR="0064258B" w:rsidRDefault="00243473" w:rsidP="0064258B">
      <w:pPr>
        <w:pStyle w:val="ListParagraph"/>
        <w:spacing w:line="312" w:lineRule="auto"/>
        <w:jc w:val="center"/>
        <w:rPr>
          <w:rFonts w:ascii="Times New Roman" w:hAnsi="Times New Roman" w:cs="Times New Roman"/>
          <w:b/>
          <w:bCs/>
          <w:sz w:val="26"/>
          <w:szCs w:val="26"/>
        </w:rPr>
      </w:pPr>
      <w:bookmarkStart w:id="15" w:name="_Toc53568106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579EB">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5"/>
    </w:p>
    <w:p w:rsidR="0025748E" w:rsidRDefault="00243473" w:rsidP="0064258B">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7F37BD" w:rsidRPr="00DE1410" w:rsidRDefault="007F37BD" w:rsidP="00DE1410">
      <w:pPr>
        <w:pStyle w:val="ListParagraph"/>
        <w:spacing w:line="312" w:lineRule="auto"/>
        <w:ind w:hanging="720"/>
        <w:jc w:val="center"/>
        <w:rPr>
          <w:rStyle w:val="Emphasis"/>
          <w:rFonts w:ascii="Times New Roman" w:hAnsi="Times New Roman" w:cs="Times New Roman"/>
          <w:b/>
          <w:bCs/>
          <w:i w:val="0"/>
          <w:iCs w:val="0"/>
          <w:sz w:val="26"/>
          <w:szCs w:val="26"/>
        </w:rPr>
      </w:pPr>
    </w:p>
    <w:p w:rsidR="000E1C76" w:rsidRDefault="00630374" w:rsidP="00515D9C">
      <w:pPr>
        <w:pStyle w:val="ListParagraph"/>
        <w:spacing w:line="312" w:lineRule="auto"/>
        <w:rPr>
          <w:rStyle w:val="Emphasis"/>
          <w:rFonts w:ascii="Times New Roman" w:hAnsi="Times New Roman" w:cs="Times New Roman"/>
          <w:sz w:val="26"/>
          <w:szCs w:val="26"/>
        </w:rPr>
      </w:pPr>
      <w:r>
        <w:rPr>
          <w:noProof/>
        </w:rPr>
        <w:drawing>
          <wp:inline distT="0" distB="0" distL="0" distR="0" wp14:anchorId="78BDB738" wp14:editId="212AD7FB">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36466C" w:rsidRDefault="0036466C" w:rsidP="00F72CDD">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36466C">
        <w:rPr>
          <w:rStyle w:val="Emphasis"/>
          <w:rFonts w:ascii="Times New Roman" w:hAnsi="Times New Roman" w:cs="Times New Roman"/>
          <w:i w:val="0"/>
          <w:sz w:val="26"/>
          <w:szCs w:val="26"/>
        </w:rPr>
        <w:t>Bộ Giao thông vận tải Trung Quốc đã thông báo những thay đổi sắp tới đối với các quy định về nhiên liệu của nước này liên quan đến hàm lượng lưu huỳnh và khí thải.</w:t>
      </w:r>
      <w:proofErr w:type="gramEnd"/>
      <w:r w:rsidRPr="0036466C">
        <w:rPr>
          <w:rStyle w:val="Emphasis"/>
          <w:rFonts w:ascii="Times New Roman" w:hAnsi="Times New Roman" w:cs="Times New Roman"/>
          <w:i w:val="0"/>
          <w:sz w:val="26"/>
          <w:szCs w:val="26"/>
        </w:rPr>
        <w:t xml:space="preserve"> Những thay đổi sẽ </w:t>
      </w:r>
      <w:r w:rsidR="004F60C6">
        <w:rPr>
          <w:rStyle w:val="Emphasis"/>
          <w:rFonts w:ascii="Times New Roman" w:hAnsi="Times New Roman" w:cs="Times New Roman"/>
          <w:i w:val="0"/>
          <w:sz w:val="26"/>
          <w:szCs w:val="26"/>
        </w:rPr>
        <w:t>làm tăng</w:t>
      </w:r>
      <w:r w:rsidRPr="0036466C">
        <w:rPr>
          <w:rStyle w:val="Emphasis"/>
          <w:rFonts w:ascii="Times New Roman" w:hAnsi="Times New Roman" w:cs="Times New Roman"/>
          <w:i w:val="0"/>
          <w:sz w:val="26"/>
          <w:szCs w:val="26"/>
        </w:rPr>
        <w:t xml:space="preserve"> chi phí cho các hãng vận tải, do đó, các hãng, </w:t>
      </w:r>
      <w:r w:rsidR="004F60C6">
        <w:rPr>
          <w:rStyle w:val="Emphasis"/>
          <w:rFonts w:ascii="Times New Roman" w:hAnsi="Times New Roman" w:cs="Times New Roman"/>
          <w:i w:val="0"/>
          <w:sz w:val="26"/>
          <w:szCs w:val="26"/>
        </w:rPr>
        <w:t>phải</w:t>
      </w:r>
      <w:r w:rsidRPr="0036466C">
        <w:rPr>
          <w:rStyle w:val="Emphasis"/>
          <w:rFonts w:ascii="Times New Roman" w:hAnsi="Times New Roman" w:cs="Times New Roman"/>
          <w:i w:val="0"/>
          <w:sz w:val="26"/>
          <w:szCs w:val="26"/>
        </w:rPr>
        <w:t xml:space="preserve"> có kế hoạch chuyển chi phí cho các chủ hàng thông qua phụ phí.</w:t>
      </w:r>
    </w:p>
    <w:p w:rsidR="0036466C" w:rsidRPr="0036466C" w:rsidRDefault="0036466C" w:rsidP="0036466C">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36466C">
        <w:rPr>
          <w:rStyle w:val="Emphasis"/>
          <w:rFonts w:ascii="Times New Roman" w:hAnsi="Times New Roman" w:cs="Times New Roman"/>
          <w:i w:val="0"/>
          <w:sz w:val="26"/>
          <w:szCs w:val="26"/>
        </w:rPr>
        <w:t>Bắt đầu từ năm mới 2019, các khu vực kiểm soát khí thải (ECA) của Trung Quốc sẽ bao gồm toàn bộ bờ biển Trung Quốc.</w:t>
      </w:r>
      <w:proofErr w:type="gramEnd"/>
      <w:r w:rsidRPr="0036466C">
        <w:rPr>
          <w:rStyle w:val="Emphasis"/>
          <w:rFonts w:ascii="Times New Roman" w:hAnsi="Times New Roman" w:cs="Times New Roman"/>
          <w:i w:val="0"/>
          <w:sz w:val="26"/>
          <w:szCs w:val="26"/>
        </w:rPr>
        <w:t xml:space="preserve"> Tàu thuyền đi trong phạm vi 12 hải </w:t>
      </w:r>
      <w:r w:rsidRPr="0036466C">
        <w:rPr>
          <w:rStyle w:val="Emphasis"/>
          <w:rFonts w:ascii="Times New Roman" w:hAnsi="Times New Roman" w:cs="Times New Roman"/>
          <w:i w:val="0"/>
          <w:sz w:val="26"/>
          <w:szCs w:val="26"/>
        </w:rPr>
        <w:lastRenderedPageBreak/>
        <w:t>lý của bờ biển sẽ bị giới hạn hàm lượng lưu huỳnh 0</w:t>
      </w:r>
      <w:proofErr w:type="gramStart"/>
      <w:r w:rsidRPr="0036466C">
        <w:rPr>
          <w:rStyle w:val="Emphasis"/>
          <w:rFonts w:ascii="Times New Roman" w:hAnsi="Times New Roman" w:cs="Times New Roman"/>
          <w:i w:val="0"/>
          <w:sz w:val="26"/>
          <w:szCs w:val="26"/>
        </w:rPr>
        <w:t>,5</w:t>
      </w:r>
      <w:proofErr w:type="gramEnd"/>
      <w:r w:rsidRPr="0036466C">
        <w:rPr>
          <w:rStyle w:val="Emphasis"/>
          <w:rFonts w:ascii="Times New Roman" w:hAnsi="Times New Roman" w:cs="Times New Roman"/>
          <w:i w:val="0"/>
          <w:sz w:val="26"/>
          <w:szCs w:val="26"/>
        </w:rPr>
        <w:t xml:space="preserve">% đối với nhiên liệu. </w:t>
      </w:r>
      <w:proofErr w:type="gramStart"/>
      <w:r w:rsidRPr="0036466C">
        <w:rPr>
          <w:rStyle w:val="Emphasis"/>
          <w:rFonts w:ascii="Times New Roman" w:hAnsi="Times New Roman" w:cs="Times New Roman"/>
          <w:i w:val="0"/>
          <w:sz w:val="26"/>
          <w:szCs w:val="26"/>
        </w:rPr>
        <w:t>Giới hạn này bao gồm khi tàu đang neo đậu.</w:t>
      </w:r>
      <w:proofErr w:type="gramEnd"/>
    </w:p>
    <w:p w:rsidR="0036466C" w:rsidRPr="0036466C" w:rsidRDefault="0036466C" w:rsidP="0036466C">
      <w:pPr>
        <w:spacing w:line="312" w:lineRule="auto"/>
        <w:ind w:firstLine="720"/>
        <w:jc w:val="both"/>
        <w:rPr>
          <w:rStyle w:val="Emphasis"/>
          <w:rFonts w:ascii="Times New Roman" w:hAnsi="Times New Roman" w:cs="Times New Roman"/>
          <w:i w:val="0"/>
          <w:sz w:val="26"/>
          <w:szCs w:val="26"/>
        </w:rPr>
      </w:pPr>
      <w:proofErr w:type="gramStart"/>
      <w:r w:rsidRPr="0036466C">
        <w:rPr>
          <w:rStyle w:val="Emphasis"/>
          <w:rFonts w:ascii="Times New Roman" w:hAnsi="Times New Roman" w:cs="Times New Roman"/>
          <w:i w:val="0"/>
          <w:sz w:val="26"/>
          <w:szCs w:val="26"/>
        </w:rPr>
        <w:t>Ô nhiễm từ lâu đã là một vấn đề ở Trung Quốc, nơi chất lượng không khí thường có thể nhìn thấy bằng mắt thường.</w:t>
      </w:r>
      <w:proofErr w:type="gramEnd"/>
      <w:r w:rsidRPr="0036466C">
        <w:rPr>
          <w:rStyle w:val="Emphasis"/>
          <w:rFonts w:ascii="Times New Roman" w:hAnsi="Times New Roman" w:cs="Times New Roman"/>
          <w:i w:val="0"/>
          <w:sz w:val="26"/>
          <w:szCs w:val="26"/>
        </w:rPr>
        <w:t xml:space="preserve"> </w:t>
      </w:r>
      <w:proofErr w:type="gramStart"/>
      <w:r w:rsidRPr="0036466C">
        <w:rPr>
          <w:rStyle w:val="Emphasis"/>
          <w:rFonts w:ascii="Times New Roman" w:hAnsi="Times New Roman" w:cs="Times New Roman"/>
          <w:i w:val="0"/>
          <w:sz w:val="26"/>
          <w:szCs w:val="26"/>
        </w:rPr>
        <w:t>Trong thực tế, khói mù ô nhiễm thậm chí có thể nhìn thấy từ</w:t>
      </w:r>
      <w:r>
        <w:rPr>
          <w:rStyle w:val="Emphasis"/>
          <w:rFonts w:ascii="Times New Roman" w:hAnsi="Times New Roman" w:cs="Times New Roman"/>
          <w:i w:val="0"/>
          <w:sz w:val="26"/>
          <w:szCs w:val="26"/>
        </w:rPr>
        <w:t xml:space="preserve"> không gian.</w:t>
      </w:r>
      <w:proofErr w:type="gramEnd"/>
    </w:p>
    <w:p w:rsidR="009655C5" w:rsidRDefault="0036466C" w:rsidP="0036466C">
      <w:pPr>
        <w:spacing w:line="312" w:lineRule="auto"/>
        <w:ind w:firstLine="720"/>
        <w:jc w:val="both"/>
        <w:rPr>
          <w:rStyle w:val="Emphasis"/>
          <w:rFonts w:ascii="Times New Roman" w:hAnsi="Times New Roman" w:cs="Times New Roman"/>
          <w:i w:val="0"/>
          <w:sz w:val="26"/>
          <w:szCs w:val="26"/>
        </w:rPr>
      </w:pPr>
      <w:proofErr w:type="gramStart"/>
      <w:r w:rsidRPr="0036466C">
        <w:rPr>
          <w:rStyle w:val="Emphasis"/>
          <w:rFonts w:ascii="Times New Roman" w:hAnsi="Times New Roman" w:cs="Times New Roman"/>
          <w:i w:val="0"/>
          <w:sz w:val="26"/>
          <w:szCs w:val="26"/>
        </w:rPr>
        <w:t xml:space="preserve">Việc Trung Quốc thể hiện cam kết cải thiện chất lượng không khí </w:t>
      </w:r>
      <w:r>
        <w:rPr>
          <w:rStyle w:val="Emphasis"/>
          <w:rFonts w:ascii="Times New Roman" w:hAnsi="Times New Roman" w:cs="Times New Roman"/>
          <w:i w:val="0"/>
          <w:sz w:val="26"/>
          <w:szCs w:val="26"/>
        </w:rPr>
        <w:t>nhận được sự ủng hộ lớn từ quốc tế</w:t>
      </w:r>
      <w:r w:rsidRPr="0036466C">
        <w:rPr>
          <w:rStyle w:val="Emphasis"/>
          <w:rFonts w:ascii="Times New Roman" w:hAnsi="Times New Roman" w:cs="Times New Roman"/>
          <w:i w:val="0"/>
          <w:sz w:val="26"/>
          <w:szCs w:val="26"/>
        </w:rPr>
        <w:t>.</w:t>
      </w:r>
      <w:proofErr w:type="gramEnd"/>
      <w:r w:rsidRPr="0036466C">
        <w:rPr>
          <w:rStyle w:val="Emphasis"/>
          <w:rFonts w:ascii="Times New Roman" w:hAnsi="Times New Roman" w:cs="Times New Roman"/>
          <w:i w:val="0"/>
          <w:sz w:val="26"/>
          <w:szCs w:val="26"/>
        </w:rPr>
        <w:t xml:space="preserve"> </w:t>
      </w:r>
      <w:proofErr w:type="gramStart"/>
      <w:r w:rsidRPr="0036466C">
        <w:rPr>
          <w:rStyle w:val="Emphasis"/>
          <w:rFonts w:ascii="Times New Roman" w:hAnsi="Times New Roman" w:cs="Times New Roman"/>
          <w:i w:val="0"/>
          <w:sz w:val="26"/>
          <w:szCs w:val="26"/>
        </w:rPr>
        <w:t>Nỗ lực của Trung Quốc thậm chí còn đi trước các thay đổi quy định về nắp lưu huỳnh của Tổ chức Hàng hải Quốc tế (IMO) cũng đang đến rất nhanh.</w:t>
      </w:r>
      <w:proofErr w:type="gramEnd"/>
    </w:p>
    <w:p w:rsidR="0036466C" w:rsidRPr="0036466C" w:rsidRDefault="0036466C" w:rsidP="0036466C">
      <w:pPr>
        <w:spacing w:line="312" w:lineRule="auto"/>
        <w:ind w:firstLine="720"/>
        <w:jc w:val="both"/>
        <w:rPr>
          <w:rStyle w:val="Emphasis"/>
          <w:rFonts w:ascii="Times New Roman" w:hAnsi="Times New Roman" w:cs="Times New Roman"/>
          <w:i w:val="0"/>
          <w:sz w:val="26"/>
          <w:szCs w:val="26"/>
        </w:rPr>
      </w:pPr>
      <w:r w:rsidRPr="0036466C">
        <w:rPr>
          <w:rStyle w:val="Emphasis"/>
          <w:rFonts w:ascii="Times New Roman" w:hAnsi="Times New Roman" w:cs="Times New Roman"/>
          <w:i w:val="0"/>
          <w:sz w:val="26"/>
          <w:szCs w:val="26"/>
        </w:rPr>
        <w:t>Bắt đầu từ năm 2020, kế hoạch ở Trung Quốc là giảm giới hạn hàm lượng lưu huỳnh trong nhiên liệu xuống còn 0,1% tại quốc gia ECA với việc nói về việc tăng ECA lên khoảng 20 hải lý từ bờ biển thay vì 12 hả</w:t>
      </w:r>
      <w:r>
        <w:rPr>
          <w:rStyle w:val="Emphasis"/>
          <w:rFonts w:ascii="Times New Roman" w:hAnsi="Times New Roman" w:cs="Times New Roman"/>
          <w:i w:val="0"/>
          <w:sz w:val="26"/>
          <w:szCs w:val="26"/>
        </w:rPr>
        <w:t>i lý.</w:t>
      </w:r>
    </w:p>
    <w:p w:rsidR="0036466C" w:rsidRPr="0036466C" w:rsidRDefault="0036466C" w:rsidP="0036466C">
      <w:pPr>
        <w:spacing w:line="312" w:lineRule="auto"/>
        <w:ind w:firstLine="720"/>
        <w:jc w:val="both"/>
        <w:rPr>
          <w:rStyle w:val="Emphasis"/>
          <w:rFonts w:ascii="Times New Roman" w:hAnsi="Times New Roman" w:cs="Times New Roman"/>
          <w:i w:val="0"/>
          <w:sz w:val="26"/>
          <w:szCs w:val="26"/>
        </w:rPr>
      </w:pPr>
      <w:r w:rsidRPr="0036466C">
        <w:rPr>
          <w:rStyle w:val="Emphasis"/>
          <w:rFonts w:ascii="Times New Roman" w:hAnsi="Times New Roman" w:cs="Times New Roman"/>
          <w:i w:val="0"/>
          <w:sz w:val="26"/>
          <w:szCs w:val="26"/>
        </w:rPr>
        <w:t>Những quy định nhiên liệu tăng thêm năm 2020 không xác định tính khả thi và có khả năng việc thực hiện các thay đổi quy định 2019 diễn ra tốt như thế nào cũng sẽ có tác động đến việc thực hiện các kế hoạch quy định vượt quá năm 2020 củ</w:t>
      </w:r>
      <w:r>
        <w:rPr>
          <w:rStyle w:val="Emphasis"/>
          <w:rFonts w:ascii="Times New Roman" w:hAnsi="Times New Roman" w:cs="Times New Roman"/>
          <w:i w:val="0"/>
          <w:sz w:val="26"/>
          <w:szCs w:val="26"/>
        </w:rPr>
        <w:t>a IMO.</w:t>
      </w:r>
    </w:p>
    <w:p w:rsidR="0036466C" w:rsidRDefault="0036466C" w:rsidP="0036466C">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w:t>
      </w:r>
      <w:r w:rsidRPr="0036466C">
        <w:rPr>
          <w:rStyle w:val="Emphasis"/>
          <w:rFonts w:ascii="Times New Roman" w:hAnsi="Times New Roman" w:cs="Times New Roman"/>
          <w:i w:val="0"/>
          <w:sz w:val="26"/>
          <w:szCs w:val="26"/>
        </w:rPr>
        <w:t xml:space="preserve">hay đổi quy định </w:t>
      </w:r>
      <w:r>
        <w:rPr>
          <w:rStyle w:val="Emphasis"/>
          <w:rFonts w:ascii="Times New Roman" w:hAnsi="Times New Roman" w:cs="Times New Roman"/>
          <w:i w:val="0"/>
          <w:sz w:val="26"/>
          <w:szCs w:val="26"/>
        </w:rPr>
        <w:t xml:space="preserve">về </w:t>
      </w:r>
      <w:r w:rsidRPr="0036466C">
        <w:rPr>
          <w:rStyle w:val="Emphasis"/>
          <w:rFonts w:ascii="Times New Roman" w:hAnsi="Times New Roman" w:cs="Times New Roman"/>
          <w:i w:val="0"/>
          <w:sz w:val="26"/>
          <w:szCs w:val="26"/>
        </w:rPr>
        <w:t xml:space="preserve">lưu huỳnh </w:t>
      </w:r>
      <w:r>
        <w:rPr>
          <w:rStyle w:val="Emphasis"/>
          <w:rFonts w:ascii="Times New Roman" w:hAnsi="Times New Roman" w:cs="Times New Roman"/>
          <w:i w:val="0"/>
          <w:sz w:val="26"/>
          <w:szCs w:val="26"/>
        </w:rPr>
        <w:t xml:space="preserve">trong </w:t>
      </w:r>
      <w:r w:rsidRPr="0036466C">
        <w:rPr>
          <w:rStyle w:val="Emphasis"/>
          <w:rFonts w:ascii="Times New Roman" w:hAnsi="Times New Roman" w:cs="Times New Roman"/>
          <w:i w:val="0"/>
          <w:sz w:val="26"/>
          <w:szCs w:val="26"/>
        </w:rPr>
        <w:t>nhiên liệu ở Trung Quốc năm 2019.</w:t>
      </w:r>
      <w:proofErr w:type="gramEnd"/>
      <w:r w:rsidRPr="0036466C">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Mức</w:t>
      </w:r>
      <w:r w:rsidRPr="0036466C">
        <w:rPr>
          <w:rStyle w:val="Emphasis"/>
          <w:rFonts w:ascii="Times New Roman" w:hAnsi="Times New Roman" w:cs="Times New Roman"/>
          <w:i w:val="0"/>
          <w:sz w:val="26"/>
          <w:szCs w:val="26"/>
        </w:rPr>
        <w:t xml:space="preserve"> lưu huỳnh </w:t>
      </w:r>
      <w:r>
        <w:rPr>
          <w:rStyle w:val="Emphasis"/>
          <w:rFonts w:ascii="Times New Roman" w:hAnsi="Times New Roman" w:cs="Times New Roman"/>
          <w:i w:val="0"/>
          <w:sz w:val="26"/>
          <w:szCs w:val="26"/>
        </w:rPr>
        <w:t xml:space="preserve">trong </w:t>
      </w:r>
      <w:r w:rsidRPr="0036466C">
        <w:rPr>
          <w:rStyle w:val="Emphasis"/>
          <w:rFonts w:ascii="Times New Roman" w:hAnsi="Times New Roman" w:cs="Times New Roman"/>
          <w:i w:val="0"/>
          <w:sz w:val="26"/>
          <w:szCs w:val="26"/>
        </w:rPr>
        <w:t>nhiên liệu hiệ</w:t>
      </w:r>
      <w:r>
        <w:rPr>
          <w:rStyle w:val="Emphasis"/>
          <w:rFonts w:ascii="Times New Roman" w:hAnsi="Times New Roman" w:cs="Times New Roman"/>
          <w:i w:val="0"/>
          <w:sz w:val="26"/>
          <w:szCs w:val="26"/>
        </w:rPr>
        <w:t>n là</w:t>
      </w:r>
      <w:r w:rsidRPr="0036466C">
        <w:rPr>
          <w:rStyle w:val="Emphasis"/>
          <w:rFonts w:ascii="Times New Roman" w:hAnsi="Times New Roman" w:cs="Times New Roman"/>
          <w:i w:val="0"/>
          <w:sz w:val="26"/>
          <w:szCs w:val="26"/>
        </w:rPr>
        <w:t xml:space="preserve"> 3</w:t>
      </w:r>
      <w:proofErr w:type="gramStart"/>
      <w:r w:rsidRPr="0036466C">
        <w:rPr>
          <w:rStyle w:val="Emphasis"/>
          <w:rFonts w:ascii="Times New Roman" w:hAnsi="Times New Roman" w:cs="Times New Roman"/>
          <w:i w:val="0"/>
          <w:sz w:val="26"/>
          <w:szCs w:val="26"/>
        </w:rPr>
        <w:t>,5</w:t>
      </w:r>
      <w:proofErr w:type="gramEnd"/>
      <w:r w:rsidRPr="0036466C">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để giảm tỷ lệ này xuống </w:t>
      </w:r>
      <w:r w:rsidRPr="0036466C">
        <w:rPr>
          <w:rStyle w:val="Emphasis"/>
          <w:rFonts w:ascii="Times New Roman" w:hAnsi="Times New Roman" w:cs="Times New Roman"/>
          <w:i w:val="0"/>
          <w:sz w:val="26"/>
          <w:szCs w:val="26"/>
        </w:rPr>
        <w:t xml:space="preserve">0,5% sẽ </w:t>
      </w:r>
      <w:r>
        <w:rPr>
          <w:rStyle w:val="Emphasis"/>
          <w:rFonts w:ascii="Times New Roman" w:hAnsi="Times New Roman" w:cs="Times New Roman"/>
          <w:i w:val="0"/>
          <w:sz w:val="26"/>
          <w:szCs w:val="26"/>
        </w:rPr>
        <w:t>tạo ra áp lực về chi phí cho các hãng vận tải</w:t>
      </w:r>
      <w:r w:rsidRPr="0036466C">
        <w:rPr>
          <w:rStyle w:val="Emphasis"/>
          <w:rFonts w:ascii="Times New Roman" w:hAnsi="Times New Roman" w:cs="Times New Roman"/>
          <w:i w:val="0"/>
          <w:sz w:val="26"/>
          <w:szCs w:val="26"/>
        </w:rPr>
        <w:t xml:space="preserve">. </w:t>
      </w:r>
      <w:proofErr w:type="gramStart"/>
      <w:r w:rsidRPr="0036466C">
        <w:rPr>
          <w:rStyle w:val="Emphasis"/>
          <w:rFonts w:ascii="Times New Roman" w:hAnsi="Times New Roman" w:cs="Times New Roman"/>
          <w:i w:val="0"/>
          <w:sz w:val="26"/>
          <w:szCs w:val="26"/>
        </w:rPr>
        <w:t>Vì vậy, không có gì ngạc nhiên khi quy định này sẽ</w:t>
      </w:r>
      <w:r>
        <w:rPr>
          <w:rStyle w:val="Emphasis"/>
          <w:rFonts w:ascii="Times New Roman" w:hAnsi="Times New Roman" w:cs="Times New Roman"/>
          <w:i w:val="0"/>
          <w:sz w:val="26"/>
          <w:szCs w:val="26"/>
        </w:rPr>
        <w:t xml:space="preserve"> dẫn đến </w:t>
      </w:r>
      <w:r w:rsidRPr="0036466C">
        <w:rPr>
          <w:rStyle w:val="Emphasis"/>
          <w:rFonts w:ascii="Times New Roman" w:hAnsi="Times New Roman" w:cs="Times New Roman"/>
          <w:i w:val="0"/>
          <w:sz w:val="26"/>
          <w:szCs w:val="26"/>
        </w:rPr>
        <w:t xml:space="preserve">Phụ phí </w:t>
      </w:r>
      <w:r>
        <w:rPr>
          <w:rStyle w:val="Emphasis"/>
          <w:rFonts w:ascii="Times New Roman" w:hAnsi="Times New Roman" w:cs="Times New Roman"/>
          <w:i w:val="0"/>
          <w:sz w:val="26"/>
          <w:szCs w:val="26"/>
        </w:rPr>
        <w:t xml:space="preserve">nồng độ </w:t>
      </w:r>
      <w:r w:rsidRPr="0036466C">
        <w:rPr>
          <w:rStyle w:val="Emphasis"/>
          <w:rFonts w:ascii="Times New Roman" w:hAnsi="Times New Roman" w:cs="Times New Roman"/>
          <w:i w:val="0"/>
          <w:sz w:val="26"/>
          <w:szCs w:val="26"/>
        </w:rPr>
        <w:t>lưu huỳnh thấp từ các hãng.</w:t>
      </w:r>
      <w:proofErr w:type="gramEnd"/>
    </w:p>
    <w:p w:rsidR="0036466C" w:rsidRPr="006579EB" w:rsidRDefault="006579EB" w:rsidP="0036466C">
      <w:pPr>
        <w:spacing w:line="312" w:lineRule="auto"/>
        <w:ind w:firstLine="720"/>
        <w:jc w:val="center"/>
        <w:rPr>
          <w:rStyle w:val="Emphasis"/>
          <w:rFonts w:ascii="Times New Roman" w:hAnsi="Times New Roman" w:cs="Times New Roman"/>
          <w:b/>
          <w:i w:val="0"/>
          <w:sz w:val="26"/>
          <w:szCs w:val="26"/>
        </w:rPr>
      </w:pPr>
      <w:bookmarkStart w:id="16" w:name="_Toc535681072"/>
      <w:r w:rsidRPr="006579EB">
        <w:rPr>
          <w:rStyle w:val="Emphasis"/>
          <w:rFonts w:ascii="Times New Roman" w:hAnsi="Times New Roman" w:cs="Times New Roman"/>
          <w:b/>
          <w:i w:val="0"/>
          <w:sz w:val="26"/>
          <w:szCs w:val="26"/>
        </w:rPr>
        <w:t xml:space="preserve">Bảng </w:t>
      </w:r>
      <w:r w:rsidRPr="006579EB">
        <w:rPr>
          <w:rStyle w:val="Emphasis"/>
          <w:rFonts w:ascii="Times New Roman" w:hAnsi="Times New Roman" w:cs="Times New Roman"/>
          <w:b/>
          <w:i w:val="0"/>
          <w:sz w:val="26"/>
          <w:szCs w:val="26"/>
        </w:rPr>
        <w:fldChar w:fldCharType="begin"/>
      </w:r>
      <w:r w:rsidRPr="006579EB">
        <w:rPr>
          <w:rStyle w:val="Emphasis"/>
          <w:rFonts w:ascii="Times New Roman" w:hAnsi="Times New Roman" w:cs="Times New Roman"/>
          <w:b/>
          <w:i w:val="0"/>
          <w:sz w:val="26"/>
          <w:szCs w:val="26"/>
        </w:rPr>
        <w:instrText xml:space="preserve"> SEQ Bảng \* ARABIC </w:instrText>
      </w:r>
      <w:r w:rsidRPr="006579EB">
        <w:rPr>
          <w:rStyle w:val="Emphasis"/>
          <w:rFonts w:ascii="Times New Roman" w:hAnsi="Times New Roman" w:cs="Times New Roman"/>
          <w:b/>
          <w:i w:val="0"/>
          <w:sz w:val="26"/>
          <w:szCs w:val="26"/>
        </w:rPr>
        <w:fldChar w:fldCharType="separate"/>
      </w:r>
      <w:r w:rsidRPr="006579EB">
        <w:rPr>
          <w:rStyle w:val="Emphasis"/>
          <w:rFonts w:ascii="Times New Roman" w:hAnsi="Times New Roman" w:cs="Times New Roman"/>
          <w:b/>
          <w:i w:val="0"/>
          <w:noProof/>
          <w:sz w:val="26"/>
          <w:szCs w:val="26"/>
        </w:rPr>
        <w:t>2</w:t>
      </w:r>
      <w:r w:rsidRPr="006579EB">
        <w:rPr>
          <w:rStyle w:val="Emphasis"/>
          <w:rFonts w:ascii="Times New Roman" w:hAnsi="Times New Roman" w:cs="Times New Roman"/>
          <w:b/>
          <w:i w:val="0"/>
          <w:sz w:val="26"/>
          <w:szCs w:val="26"/>
        </w:rPr>
        <w:fldChar w:fldCharType="end"/>
      </w:r>
      <w:r w:rsidRPr="006579EB">
        <w:rPr>
          <w:rStyle w:val="Emphasis"/>
          <w:rFonts w:ascii="Times New Roman" w:hAnsi="Times New Roman" w:cs="Times New Roman"/>
          <w:b/>
          <w:i w:val="0"/>
          <w:sz w:val="26"/>
          <w:szCs w:val="26"/>
        </w:rPr>
        <w:t>:</w:t>
      </w:r>
      <w:r w:rsidRPr="006579EB">
        <w:rPr>
          <w:rStyle w:val="Emphasis"/>
          <w:rFonts w:ascii="Times New Roman" w:hAnsi="Times New Roman" w:cs="Times New Roman"/>
          <w:b/>
          <w:sz w:val="26"/>
          <w:szCs w:val="26"/>
        </w:rPr>
        <w:t xml:space="preserve">  </w:t>
      </w:r>
      <w:r w:rsidR="0036466C" w:rsidRPr="006579EB">
        <w:rPr>
          <w:rStyle w:val="Emphasis"/>
          <w:rFonts w:ascii="Times New Roman" w:hAnsi="Times New Roman" w:cs="Times New Roman"/>
          <w:b/>
          <w:i w:val="0"/>
          <w:sz w:val="26"/>
          <w:szCs w:val="26"/>
        </w:rPr>
        <w:t>Phụ phí do mức lưu huỳnh thấp của Trung Quốc áp dụng cho các lô hàng được tải / quá cảnh tại khu vực Thượng Hải, Ninh Ba, Nam Kinh và sông Dương Tử</w:t>
      </w:r>
      <w:bookmarkEnd w:id="16"/>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14"/>
        <w:gridCol w:w="1560"/>
        <w:gridCol w:w="1417"/>
        <w:gridCol w:w="1134"/>
        <w:gridCol w:w="1195"/>
        <w:gridCol w:w="1283"/>
        <w:gridCol w:w="1285"/>
      </w:tblGrid>
      <w:tr w:rsidR="00D344EE" w:rsidRPr="0036466C" w:rsidTr="00D344EE">
        <w:trPr>
          <w:trHeight w:val="238"/>
        </w:trPr>
        <w:tc>
          <w:tcPr>
            <w:tcW w:w="1314" w:type="dxa"/>
            <w:vMerge w:val="restart"/>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D344EE">
              <w:rPr>
                <w:rFonts w:ascii="Montserrat" w:eastAsia="Times New Roman" w:hAnsi="Montserrat" w:cs="Times New Roman"/>
                <w:b/>
                <w:color w:val="000000"/>
                <w:sz w:val="24"/>
                <w:szCs w:val="24"/>
              </w:rPr>
              <w:t>Nhà vận chuyển</w:t>
            </w:r>
          </w:p>
        </w:tc>
        <w:tc>
          <w:tcPr>
            <w:tcW w:w="1560" w:type="dxa"/>
            <w:vMerge w:val="restart"/>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D344EE">
              <w:rPr>
                <w:rFonts w:ascii="Montserrat" w:eastAsia="Times New Roman" w:hAnsi="Montserrat" w:cs="Times New Roman"/>
                <w:b/>
                <w:color w:val="000000"/>
                <w:sz w:val="24"/>
                <w:szCs w:val="24"/>
              </w:rPr>
              <w:t>Ngày có hiệu lực</w:t>
            </w:r>
          </w:p>
        </w:tc>
        <w:tc>
          <w:tcPr>
            <w:tcW w:w="1417" w:type="dxa"/>
            <w:vMerge w:val="restart"/>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D344EE">
              <w:rPr>
                <w:rFonts w:ascii="Montserrat" w:eastAsia="Times New Roman" w:hAnsi="Montserrat" w:cs="Times New Roman"/>
                <w:b/>
                <w:color w:val="000000"/>
                <w:sz w:val="24"/>
                <w:szCs w:val="24"/>
              </w:rPr>
              <w:t>Điểm trả hàng</w:t>
            </w:r>
          </w:p>
        </w:tc>
        <w:tc>
          <w:tcPr>
            <w:tcW w:w="4897" w:type="dxa"/>
            <w:gridSpan w:val="4"/>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D344EE">
              <w:rPr>
                <w:rFonts w:ascii="Montserrat" w:eastAsia="Times New Roman" w:hAnsi="Montserrat" w:cs="Times New Roman"/>
                <w:b/>
                <w:color w:val="000000"/>
                <w:sz w:val="24"/>
                <w:szCs w:val="24"/>
              </w:rPr>
              <w:t>Phụ thu (đvt: USD)</w:t>
            </w:r>
          </w:p>
        </w:tc>
      </w:tr>
      <w:tr w:rsidR="00D344EE" w:rsidRPr="0036466C" w:rsidTr="00D344EE">
        <w:trPr>
          <w:trHeight w:val="578"/>
        </w:trPr>
        <w:tc>
          <w:tcPr>
            <w:tcW w:w="1314" w:type="dxa"/>
            <w:vMerge/>
            <w:shd w:val="clear" w:color="auto" w:fill="FFFFFF"/>
            <w:vAlign w:val="center"/>
            <w:hideMark/>
          </w:tcPr>
          <w:p w:rsidR="00D344EE" w:rsidRPr="0036466C" w:rsidRDefault="00D344EE" w:rsidP="00D344EE">
            <w:pPr>
              <w:spacing w:after="0" w:line="240" w:lineRule="auto"/>
              <w:rPr>
                <w:rFonts w:ascii="Montserrat" w:eastAsia="Times New Roman" w:hAnsi="Montserrat" w:cs="Times New Roman"/>
                <w:b/>
                <w:color w:val="000000"/>
                <w:sz w:val="24"/>
                <w:szCs w:val="24"/>
              </w:rPr>
            </w:pPr>
          </w:p>
        </w:tc>
        <w:tc>
          <w:tcPr>
            <w:tcW w:w="1560" w:type="dxa"/>
            <w:vMerge/>
            <w:shd w:val="clear" w:color="auto" w:fill="FFFFFF"/>
            <w:vAlign w:val="center"/>
            <w:hideMark/>
          </w:tcPr>
          <w:p w:rsidR="00D344EE" w:rsidRPr="0036466C" w:rsidRDefault="00D344EE" w:rsidP="00D344EE">
            <w:pPr>
              <w:spacing w:after="0" w:line="240" w:lineRule="auto"/>
              <w:rPr>
                <w:rFonts w:ascii="Montserrat" w:eastAsia="Times New Roman" w:hAnsi="Montserrat" w:cs="Times New Roman"/>
                <w:b/>
                <w:color w:val="000000"/>
                <w:sz w:val="24"/>
                <w:szCs w:val="24"/>
              </w:rPr>
            </w:pPr>
          </w:p>
        </w:tc>
        <w:tc>
          <w:tcPr>
            <w:tcW w:w="1417" w:type="dxa"/>
            <w:vMerge/>
            <w:shd w:val="clear" w:color="auto" w:fill="FFFFFF"/>
            <w:vAlign w:val="center"/>
            <w:hideMark/>
          </w:tcPr>
          <w:p w:rsidR="00D344EE" w:rsidRPr="0036466C" w:rsidRDefault="00D344EE" w:rsidP="00D344EE">
            <w:pPr>
              <w:spacing w:after="0" w:line="240" w:lineRule="auto"/>
              <w:rPr>
                <w:rFonts w:ascii="Montserrat" w:eastAsia="Times New Roman" w:hAnsi="Montserrat" w:cs="Times New Roman"/>
                <w:b/>
                <w:color w:val="000000"/>
                <w:sz w:val="24"/>
                <w:szCs w:val="24"/>
              </w:rPr>
            </w:pP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36466C">
              <w:rPr>
                <w:rFonts w:ascii="Montserrat" w:eastAsia="Times New Roman" w:hAnsi="Montserrat" w:cs="Times New Roman"/>
                <w:b/>
                <w:color w:val="000000"/>
                <w:sz w:val="24"/>
                <w:szCs w:val="24"/>
              </w:rPr>
              <w:t>20’DC</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36466C">
              <w:rPr>
                <w:rFonts w:ascii="Montserrat" w:eastAsia="Times New Roman" w:hAnsi="Montserrat" w:cs="Times New Roman"/>
                <w:b/>
                <w:color w:val="000000"/>
                <w:sz w:val="24"/>
                <w:szCs w:val="24"/>
              </w:rPr>
              <w:t>40’DC</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36466C">
              <w:rPr>
                <w:rFonts w:ascii="Montserrat" w:eastAsia="Times New Roman" w:hAnsi="Montserrat" w:cs="Times New Roman"/>
                <w:b/>
                <w:color w:val="000000"/>
                <w:sz w:val="24"/>
                <w:szCs w:val="24"/>
              </w:rPr>
              <w:t>40’HC</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b/>
                <w:color w:val="000000"/>
                <w:sz w:val="24"/>
                <w:szCs w:val="24"/>
              </w:rPr>
            </w:pPr>
            <w:r w:rsidRPr="0036466C">
              <w:rPr>
                <w:rFonts w:ascii="Montserrat" w:eastAsia="Times New Roman" w:hAnsi="Montserrat" w:cs="Times New Roman"/>
                <w:b/>
                <w:color w:val="000000"/>
                <w:sz w:val="24"/>
                <w:szCs w:val="24"/>
              </w:rPr>
              <w:t>45’HC</w:t>
            </w:r>
          </w:p>
        </w:tc>
      </w:tr>
      <w:tr w:rsidR="00D344EE" w:rsidRPr="0036466C" w:rsidTr="00D344EE">
        <w:trPr>
          <w:trHeight w:val="774"/>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lastRenderedPageBreak/>
              <w:t>ZIM</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1/11/20</w:t>
            </w:r>
            <w:r w:rsidRPr="0036466C">
              <w:rPr>
                <w:rFonts w:ascii="Montserrat" w:eastAsia="Times New Roman" w:hAnsi="Montserrat" w:cs="Times New Roman"/>
                <w:color w:val="000000"/>
                <w:sz w:val="24"/>
                <w:szCs w:val="24"/>
              </w:rPr>
              <w:t>18</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Bất kỳ tuyến nào</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20</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40</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40</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40</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OOCL</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11/11/2018</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Bờ Tây</w:t>
            </w:r>
            <w:r w:rsidR="004F60C6">
              <w:rPr>
                <w:rFonts w:ascii="Montserrat" w:eastAsia="Times New Roman" w:hAnsi="Montserrat" w:cs="Times New Roman"/>
                <w:color w:val="000000"/>
                <w:sz w:val="24"/>
                <w:szCs w:val="24"/>
              </w:rPr>
              <w:t xml:space="preserve"> của Trung Quốc</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6</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8</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9</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10</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OOCL</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11/11/2018 </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Các điểm không phải ở Bờ Tây</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12</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15</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17</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19</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PIL</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F72CDD">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1/12/2018</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F72CDD">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Tất cả các tuyến</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20</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40</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40</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40</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YML</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1/12/2018</w:t>
            </w:r>
          </w:p>
        </w:tc>
        <w:tc>
          <w:tcPr>
            <w:tcW w:w="1417" w:type="dxa"/>
            <w:shd w:val="clear" w:color="auto" w:fill="FFFFFF"/>
            <w:tcMar>
              <w:top w:w="180" w:type="dxa"/>
              <w:left w:w="180" w:type="dxa"/>
              <w:bottom w:w="180" w:type="dxa"/>
              <w:right w:w="180" w:type="dxa"/>
            </w:tcMar>
            <w:vAlign w:val="bottom"/>
            <w:hideMark/>
          </w:tcPr>
          <w:p w:rsidR="0036466C" w:rsidRPr="0036466C" w:rsidRDefault="0036466C" w:rsidP="00D344EE">
            <w:pPr>
              <w:spacing w:after="0" w:line="398" w:lineRule="atLeast"/>
              <w:jc w:val="center"/>
              <w:textAlignment w:val="baseline"/>
              <w:rPr>
                <w:rFonts w:ascii="Montserrat" w:eastAsia="Times New Roman" w:hAnsi="Montserrat" w:cs="Times New Roman"/>
                <w:color w:val="000000"/>
                <w:sz w:val="24"/>
                <w:szCs w:val="24"/>
              </w:rPr>
            </w:pP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16</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32</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32</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32</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HMM</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6/12/22018 </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Tất cả các tuyến</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20</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40</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40</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40</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Hamburg SUD</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12/12/2018 </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Tất cả các tuyến</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10</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20</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20</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20</w:t>
            </w:r>
          </w:p>
        </w:tc>
      </w:tr>
      <w:tr w:rsidR="00D344EE" w:rsidRPr="0036466C" w:rsidTr="00D344EE">
        <w:trPr>
          <w:trHeight w:val="143"/>
        </w:trPr>
        <w:tc>
          <w:tcPr>
            <w:tcW w:w="131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ONE</w:t>
            </w:r>
          </w:p>
        </w:tc>
        <w:tc>
          <w:tcPr>
            <w:tcW w:w="1560"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1</w:t>
            </w:r>
            <w:r>
              <w:rPr>
                <w:rFonts w:ascii="Montserrat" w:eastAsia="Times New Roman" w:hAnsi="Montserrat" w:cs="Times New Roman"/>
                <w:color w:val="000000"/>
                <w:sz w:val="24"/>
                <w:szCs w:val="24"/>
              </w:rPr>
              <w:t>/1/2019</w:t>
            </w:r>
          </w:p>
        </w:tc>
        <w:tc>
          <w:tcPr>
            <w:tcW w:w="1417"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Tất cả các tuyến</w:t>
            </w:r>
          </w:p>
        </w:tc>
        <w:tc>
          <w:tcPr>
            <w:tcW w:w="1134"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15</w:t>
            </w:r>
          </w:p>
        </w:tc>
        <w:tc>
          <w:tcPr>
            <w:tcW w:w="119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30</w:t>
            </w:r>
          </w:p>
        </w:tc>
        <w:tc>
          <w:tcPr>
            <w:tcW w:w="1283"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30</w:t>
            </w:r>
          </w:p>
        </w:tc>
        <w:tc>
          <w:tcPr>
            <w:tcW w:w="1285" w:type="dxa"/>
            <w:shd w:val="clear" w:color="auto" w:fill="FFFFFF"/>
            <w:tcMar>
              <w:top w:w="180" w:type="dxa"/>
              <w:left w:w="180" w:type="dxa"/>
              <w:bottom w:w="180" w:type="dxa"/>
              <w:right w:w="180" w:type="dxa"/>
            </w:tcMar>
            <w:vAlign w:val="bottom"/>
            <w:hideMark/>
          </w:tcPr>
          <w:p w:rsidR="0036466C" w:rsidRPr="0036466C" w:rsidRDefault="00D344EE" w:rsidP="00D344EE">
            <w:pPr>
              <w:spacing w:after="0" w:line="398" w:lineRule="atLeast"/>
              <w:jc w:val="center"/>
              <w:textAlignment w:val="baseline"/>
              <w:rPr>
                <w:rFonts w:ascii="Montserrat" w:eastAsia="Times New Roman" w:hAnsi="Montserrat" w:cs="Times New Roman"/>
                <w:color w:val="000000"/>
                <w:sz w:val="24"/>
                <w:szCs w:val="24"/>
              </w:rPr>
            </w:pPr>
            <w:r w:rsidRPr="0036466C">
              <w:rPr>
                <w:rFonts w:ascii="Montserrat" w:eastAsia="Times New Roman" w:hAnsi="Montserrat" w:cs="Times New Roman"/>
                <w:color w:val="000000"/>
                <w:sz w:val="24"/>
                <w:szCs w:val="24"/>
              </w:rPr>
              <w:t xml:space="preserve"> 30</w:t>
            </w:r>
          </w:p>
        </w:tc>
      </w:tr>
    </w:tbl>
    <w:p w:rsidR="0036466C" w:rsidRPr="00B21A4A" w:rsidRDefault="0036466C" w:rsidP="0036466C">
      <w:pPr>
        <w:spacing w:line="312" w:lineRule="auto"/>
        <w:ind w:firstLine="720"/>
        <w:jc w:val="both"/>
        <w:rPr>
          <w:rStyle w:val="Emphasis"/>
          <w:rFonts w:ascii="Times New Roman" w:hAnsi="Times New Roman" w:cs="Times New Roman"/>
          <w:i w:val="0"/>
          <w:sz w:val="26"/>
          <w:szCs w:val="26"/>
        </w:rPr>
      </w:pPr>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7" w:name="_Toc535681059"/>
      <w:r w:rsidRPr="00AC37BB">
        <w:rPr>
          <w:rStyle w:val="Emphasis"/>
          <w:rFonts w:ascii="Times New Roman" w:hAnsi="Times New Roman" w:cs="Times New Roman"/>
          <w:b/>
          <w:sz w:val="26"/>
          <w:szCs w:val="26"/>
        </w:rPr>
        <w:t>Vận chuyển hàng không dân dụng:</w:t>
      </w:r>
      <w:bookmarkEnd w:id="17"/>
    </w:p>
    <w:p w:rsidR="00A12DDC" w:rsidRPr="00A90838" w:rsidRDefault="00A81298" w:rsidP="00A90838">
      <w:pPr>
        <w:spacing w:line="312" w:lineRule="auto"/>
        <w:ind w:firstLine="720"/>
        <w:jc w:val="both"/>
        <w:rPr>
          <w:rStyle w:val="Emphasis"/>
          <w:iCs w:val="0"/>
        </w:rPr>
      </w:pPr>
      <w:r>
        <w:rPr>
          <w:rStyle w:val="Emphasis"/>
          <w:rFonts w:ascii="Times New Roman" w:hAnsi="Times New Roman" w:cs="Times New Roman"/>
          <w:i w:val="0"/>
          <w:sz w:val="26"/>
          <w:szCs w:val="26"/>
        </w:rPr>
        <w:t>Tháng 11/2018, vận chuyển hàng hóa bằng đường hàng không dân dụng của Trung Quốc là phương thức duy nhất sụt giảm so với cùng kỳ năm trước, giảm 0</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 đạt 0,66 triệu tấn</w:t>
      </w:r>
      <w:r w:rsidR="00A12DDC" w:rsidRPr="00A12DDC">
        <w:rPr>
          <w:rStyle w:val="Emphasis"/>
          <w:rFonts w:ascii="Times New Roman" w:hAnsi="Times New Roman" w:cs="Times New Roman"/>
          <w:i w:val="0"/>
          <w:sz w:val="26"/>
          <w:szCs w:val="26"/>
        </w:rPr>
        <w:t>.</w:t>
      </w:r>
    </w:p>
    <w:p w:rsidR="00C34E11" w:rsidRDefault="00606F25" w:rsidP="00C34E11">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lastRenderedPageBreak/>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 xml:space="preserve">của Trung </w:t>
      </w:r>
      <w:r w:rsidR="008735CF">
        <w:rPr>
          <w:rStyle w:val="Emphasis"/>
          <w:rFonts w:ascii="Times New Roman" w:hAnsi="Times New Roman" w:cs="Times New Roman"/>
          <w:i w:val="0"/>
          <w:sz w:val="26"/>
          <w:szCs w:val="26"/>
        </w:rPr>
        <w:t>Quốc</w:t>
      </w:r>
      <w:r w:rsidR="00515D9C">
        <w:rPr>
          <w:rStyle w:val="Emphasis"/>
          <w:rFonts w:ascii="Times New Roman" w:hAnsi="Times New Roman" w:cs="Times New Roman"/>
          <w:i w:val="0"/>
          <w:sz w:val="26"/>
          <w:szCs w:val="26"/>
        </w:rPr>
        <w:t xml:space="preserve"> đạ</w:t>
      </w:r>
      <w:r w:rsidR="00DE1410">
        <w:rPr>
          <w:rStyle w:val="Emphasis"/>
          <w:rFonts w:ascii="Times New Roman" w:hAnsi="Times New Roman" w:cs="Times New Roman"/>
          <w:i w:val="0"/>
          <w:sz w:val="26"/>
          <w:szCs w:val="26"/>
        </w:rPr>
        <w:t xml:space="preserve">t </w:t>
      </w:r>
      <w:r w:rsidR="00A81298">
        <w:rPr>
          <w:rStyle w:val="Emphasis"/>
          <w:rFonts w:ascii="Times New Roman" w:hAnsi="Times New Roman" w:cs="Times New Roman"/>
          <w:i w:val="0"/>
          <w:sz w:val="26"/>
          <w:szCs w:val="26"/>
        </w:rPr>
        <w:t>6</w:t>
      </w:r>
      <w:proofErr w:type="gramStart"/>
      <w:r w:rsidR="00A81298">
        <w:rPr>
          <w:rStyle w:val="Emphasis"/>
          <w:rFonts w:ascii="Times New Roman" w:hAnsi="Times New Roman" w:cs="Times New Roman"/>
          <w:i w:val="0"/>
          <w:sz w:val="26"/>
          <w:szCs w:val="26"/>
        </w:rPr>
        <w:t>,71</w:t>
      </w:r>
      <w:proofErr w:type="gramEnd"/>
      <w:r w:rsidR="00515D9C">
        <w:rPr>
          <w:rStyle w:val="Emphasis"/>
          <w:rFonts w:ascii="Times New Roman" w:hAnsi="Times New Roman" w:cs="Times New Roman"/>
          <w:i w:val="0"/>
          <w:sz w:val="26"/>
          <w:szCs w:val="26"/>
        </w:rPr>
        <w:t xml:space="preserve"> triệu tấn trong </w:t>
      </w:r>
      <w:r w:rsidR="00A81298">
        <w:rPr>
          <w:rStyle w:val="Emphasis"/>
          <w:rFonts w:ascii="Times New Roman" w:hAnsi="Times New Roman" w:cs="Times New Roman"/>
          <w:i w:val="0"/>
          <w:sz w:val="26"/>
          <w:szCs w:val="26"/>
        </w:rPr>
        <w:t>11 tháng 2018, tăng 4,9</w:t>
      </w:r>
      <w:r w:rsidR="00515D9C">
        <w:rPr>
          <w:rStyle w:val="Emphasis"/>
          <w:rFonts w:ascii="Times New Roman" w:hAnsi="Times New Roman" w:cs="Times New Roman"/>
          <w:i w:val="0"/>
          <w:sz w:val="26"/>
          <w:szCs w:val="26"/>
        </w:rPr>
        <w:t>% so với cùng kỳ năm 2017</w:t>
      </w:r>
      <w:r w:rsidR="00961E55">
        <w:rPr>
          <w:rStyle w:val="Emphasis"/>
          <w:rFonts w:ascii="Times New Roman" w:hAnsi="Times New Roman" w:cs="Times New Roman"/>
          <w:i w:val="0"/>
          <w:sz w:val="26"/>
          <w:szCs w:val="26"/>
        </w:rPr>
        <w:t xml:space="preserve">. </w:t>
      </w:r>
    </w:p>
    <w:p w:rsidR="00DE1410" w:rsidRPr="00DE1410" w:rsidRDefault="00606F25" w:rsidP="00A12DDC">
      <w:pPr>
        <w:spacing w:line="312" w:lineRule="auto"/>
        <w:ind w:firstLine="720"/>
        <w:jc w:val="center"/>
        <w:rPr>
          <w:rStyle w:val="Emphasis"/>
          <w:rFonts w:ascii="Times New Roman" w:hAnsi="Times New Roman" w:cs="Times New Roman"/>
          <w:b/>
          <w:bCs/>
          <w:i w:val="0"/>
          <w:iCs w:val="0"/>
          <w:sz w:val="26"/>
          <w:szCs w:val="26"/>
        </w:rPr>
      </w:pPr>
      <w:bookmarkStart w:id="18" w:name="_Toc535681069"/>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579EB">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8"/>
    </w:p>
    <w:p w:rsidR="00C34E11" w:rsidRDefault="00A81298" w:rsidP="00A81298">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03AC7CBF" wp14:editId="0B3A6695">
            <wp:extent cx="4832350" cy="2743200"/>
            <wp:effectExtent l="0" t="0" r="2540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D344EE" w:rsidRPr="00D344EE" w:rsidRDefault="00D344EE" w:rsidP="00D344EE">
      <w:pPr>
        <w:shd w:val="clear" w:color="auto" w:fill="FFFFFF"/>
        <w:spacing w:after="177" w:line="312" w:lineRule="auto"/>
        <w:ind w:firstLine="720"/>
        <w:jc w:val="both"/>
        <w:rPr>
          <w:rStyle w:val="Emphasis"/>
          <w:rFonts w:ascii="Times New Roman" w:hAnsi="Times New Roman" w:cs="Times New Roman"/>
          <w:b/>
          <w:sz w:val="26"/>
          <w:szCs w:val="26"/>
        </w:rPr>
      </w:pPr>
      <w:r w:rsidRPr="00D344EE">
        <w:rPr>
          <w:rStyle w:val="Emphasis"/>
          <w:rFonts w:ascii="Times New Roman" w:hAnsi="Times New Roman" w:cs="Times New Roman"/>
          <w:b/>
          <w:sz w:val="26"/>
          <w:szCs w:val="26"/>
        </w:rPr>
        <w:t>Tình hình hoạt động của một số hãng hàng không lớn của Trung Quốc:</w:t>
      </w:r>
    </w:p>
    <w:p w:rsidR="00D344EE" w:rsidRPr="00D344EE" w:rsidRDefault="00D344EE" w:rsidP="00D344EE">
      <w:pPr>
        <w:shd w:val="clear" w:color="auto" w:fill="FFFFFF"/>
        <w:spacing w:after="177" w:line="312" w:lineRule="auto"/>
        <w:ind w:firstLine="720"/>
        <w:jc w:val="both"/>
        <w:rPr>
          <w:rStyle w:val="Emphasis"/>
          <w:rFonts w:ascii="Times New Roman" w:hAnsi="Times New Roman" w:cs="Times New Roman"/>
          <w:i w:val="0"/>
          <w:sz w:val="26"/>
          <w:szCs w:val="26"/>
        </w:rPr>
      </w:pPr>
      <w:r w:rsidRPr="00D344EE">
        <w:rPr>
          <w:rStyle w:val="Emphasis"/>
          <w:rFonts w:ascii="Times New Roman" w:hAnsi="Times New Roman" w:cs="Times New Roman"/>
          <w:i w:val="0"/>
          <w:sz w:val="26"/>
          <w:szCs w:val="26"/>
        </w:rPr>
        <w:t>Hãng</w:t>
      </w:r>
      <w:r w:rsidRPr="00D344EE">
        <w:rPr>
          <w:rStyle w:val="Emphasis"/>
          <w:rFonts w:ascii="Times New Roman" w:hAnsi="Times New Roman" w:cs="Times New Roman"/>
          <w:sz w:val="26"/>
          <w:szCs w:val="26"/>
        </w:rPr>
        <w:t xml:space="preserve"> </w:t>
      </w:r>
      <w:r w:rsidRPr="00D344EE">
        <w:rPr>
          <w:rStyle w:val="Emphasis"/>
          <w:rFonts w:ascii="Times New Roman" w:hAnsi="Times New Roman" w:cs="Times New Roman"/>
          <w:i w:val="0"/>
          <w:sz w:val="26"/>
          <w:szCs w:val="26"/>
        </w:rPr>
        <w:t xml:space="preserve">Air China có trụ sở tại Bắc Kinh đã báo cáo lưu lượng </w:t>
      </w:r>
      <w:r w:rsidR="006579EB">
        <w:rPr>
          <w:rStyle w:val="Emphasis"/>
          <w:rFonts w:ascii="Times New Roman" w:hAnsi="Times New Roman" w:cs="Times New Roman"/>
          <w:i w:val="0"/>
          <w:sz w:val="26"/>
          <w:szCs w:val="26"/>
        </w:rPr>
        <w:t>vận chuyển</w:t>
      </w:r>
      <w:r w:rsidRPr="00D344EE">
        <w:rPr>
          <w:rStyle w:val="Emphasis"/>
          <w:rFonts w:ascii="Times New Roman" w:hAnsi="Times New Roman" w:cs="Times New Roman"/>
          <w:i w:val="0"/>
          <w:sz w:val="26"/>
          <w:szCs w:val="26"/>
        </w:rPr>
        <w:t xml:space="preserve"> trong tháng 11</w:t>
      </w:r>
      <w:r w:rsidR="006579EB">
        <w:rPr>
          <w:rStyle w:val="Emphasis"/>
          <w:rFonts w:ascii="Times New Roman" w:hAnsi="Times New Roman" w:cs="Times New Roman"/>
          <w:i w:val="0"/>
          <w:sz w:val="26"/>
          <w:szCs w:val="26"/>
        </w:rPr>
        <w:t>/2018</w:t>
      </w:r>
      <w:r w:rsidRPr="00D344EE">
        <w:rPr>
          <w:rStyle w:val="Emphasis"/>
          <w:rFonts w:ascii="Times New Roman" w:hAnsi="Times New Roman" w:cs="Times New Roman"/>
          <w:i w:val="0"/>
          <w:sz w:val="26"/>
          <w:szCs w:val="26"/>
        </w:rPr>
        <w:t xml:space="preserve"> tăng 2</w:t>
      </w:r>
      <w:proofErr w:type="gramStart"/>
      <w:r w:rsidRPr="00D344EE">
        <w:rPr>
          <w:rStyle w:val="Emphasis"/>
          <w:rFonts w:ascii="Times New Roman" w:hAnsi="Times New Roman" w:cs="Times New Roman"/>
          <w:i w:val="0"/>
          <w:sz w:val="26"/>
          <w:szCs w:val="26"/>
        </w:rPr>
        <w:t>,1</w:t>
      </w:r>
      <w:proofErr w:type="gramEnd"/>
      <w:r w:rsidRPr="00D344EE">
        <w:rPr>
          <w:rStyle w:val="Emphasis"/>
          <w:rFonts w:ascii="Times New Roman" w:hAnsi="Times New Roman" w:cs="Times New Roman"/>
          <w:i w:val="0"/>
          <w:sz w:val="26"/>
          <w:szCs w:val="26"/>
        </w:rPr>
        <w:t>% so với cùng kỳ, lên 702 triệ</w:t>
      </w:r>
      <w:r w:rsidR="006579EB">
        <w:rPr>
          <w:rStyle w:val="Emphasis"/>
          <w:rFonts w:ascii="Times New Roman" w:hAnsi="Times New Roman" w:cs="Times New Roman"/>
          <w:i w:val="0"/>
          <w:sz w:val="26"/>
          <w:szCs w:val="26"/>
        </w:rPr>
        <w:t>u RTK,</w:t>
      </w:r>
      <w:r w:rsidRPr="00D344EE">
        <w:rPr>
          <w:rStyle w:val="Emphasis"/>
          <w:rFonts w:ascii="Times New Roman" w:hAnsi="Times New Roman" w:cs="Times New Roman"/>
          <w:i w:val="0"/>
          <w:sz w:val="26"/>
          <w:szCs w:val="26"/>
        </w:rPr>
        <w:t xml:space="preserve"> đánh dấu mức giảm 0,2% so với lưu lượng tháng 10 năm 2018. Từ đầu năm đến nay, lưu lượng tăng 6</w:t>
      </w:r>
      <w:proofErr w:type="gramStart"/>
      <w:r w:rsidRPr="00D344EE">
        <w:rPr>
          <w:rStyle w:val="Emphasis"/>
          <w:rFonts w:ascii="Times New Roman" w:hAnsi="Times New Roman" w:cs="Times New Roman"/>
          <w:i w:val="0"/>
          <w:sz w:val="26"/>
          <w:szCs w:val="26"/>
        </w:rPr>
        <w:t>,0</w:t>
      </w:r>
      <w:proofErr w:type="gramEnd"/>
      <w:r w:rsidRPr="00D344EE">
        <w:rPr>
          <w:rStyle w:val="Emphasis"/>
          <w:rFonts w:ascii="Times New Roman" w:hAnsi="Times New Roman" w:cs="Times New Roman"/>
          <w:i w:val="0"/>
          <w:sz w:val="26"/>
          <w:szCs w:val="26"/>
        </w:rPr>
        <w:t xml:space="preserve">% so với cùng kỳ năm 2017. </w:t>
      </w:r>
      <w:r w:rsidR="006579EB">
        <w:rPr>
          <w:rStyle w:val="Emphasis"/>
          <w:rFonts w:ascii="Times New Roman" w:hAnsi="Times New Roman" w:cs="Times New Roman"/>
          <w:i w:val="0"/>
          <w:sz w:val="26"/>
          <w:szCs w:val="26"/>
        </w:rPr>
        <w:t xml:space="preserve"> Đóng góp phần lớn vào mức</w:t>
      </w:r>
      <w:r w:rsidRPr="00D344EE">
        <w:rPr>
          <w:rStyle w:val="Emphasis"/>
          <w:rFonts w:ascii="Times New Roman" w:hAnsi="Times New Roman" w:cs="Times New Roman"/>
          <w:i w:val="0"/>
          <w:sz w:val="26"/>
          <w:szCs w:val="26"/>
        </w:rPr>
        <w:t xml:space="preserve"> tăng trưởng là lưu lượng hàng hóa quốc tế</w:t>
      </w:r>
      <w:r>
        <w:rPr>
          <w:rStyle w:val="Emphasis"/>
          <w:rFonts w:ascii="Times New Roman" w:hAnsi="Times New Roman" w:cs="Times New Roman"/>
          <w:i w:val="0"/>
          <w:sz w:val="26"/>
          <w:szCs w:val="26"/>
        </w:rPr>
        <w:t xml:space="preserve">, tăng 3,9% </w:t>
      </w:r>
      <w:r w:rsidR="006579EB">
        <w:rPr>
          <w:rStyle w:val="Emphasis"/>
          <w:rFonts w:ascii="Times New Roman" w:hAnsi="Times New Roman" w:cs="Times New Roman"/>
          <w:i w:val="0"/>
          <w:sz w:val="26"/>
          <w:szCs w:val="26"/>
        </w:rPr>
        <w:t>trong</w:t>
      </w:r>
      <w:r w:rsidRPr="00D344EE">
        <w:rPr>
          <w:rStyle w:val="Emphasis"/>
          <w:rFonts w:ascii="Times New Roman" w:hAnsi="Times New Roman" w:cs="Times New Roman"/>
          <w:i w:val="0"/>
          <w:sz w:val="26"/>
          <w:szCs w:val="26"/>
        </w:rPr>
        <w:t xml:space="preserve"> tháng 11</w:t>
      </w:r>
      <w:r>
        <w:rPr>
          <w:rStyle w:val="Emphasis"/>
          <w:rFonts w:ascii="Times New Roman" w:hAnsi="Times New Roman" w:cs="Times New Roman"/>
          <w:i w:val="0"/>
          <w:sz w:val="26"/>
          <w:szCs w:val="26"/>
        </w:rPr>
        <w:t>/2018</w:t>
      </w:r>
      <w:r w:rsidRPr="00D344EE">
        <w:rPr>
          <w:rStyle w:val="Emphasis"/>
          <w:rFonts w:ascii="Times New Roman" w:hAnsi="Times New Roman" w:cs="Times New Roman"/>
          <w:i w:val="0"/>
          <w:sz w:val="26"/>
          <w:szCs w:val="26"/>
        </w:rPr>
        <w:t xml:space="preserve"> và 6,0% </w:t>
      </w:r>
      <w:r>
        <w:rPr>
          <w:rStyle w:val="Emphasis"/>
          <w:rFonts w:ascii="Times New Roman" w:hAnsi="Times New Roman" w:cs="Times New Roman"/>
          <w:i w:val="0"/>
          <w:sz w:val="26"/>
          <w:szCs w:val="26"/>
        </w:rPr>
        <w:t>trong 11 tháng năm 2018.</w:t>
      </w:r>
    </w:p>
    <w:p w:rsidR="00D344EE" w:rsidRDefault="00D344EE" w:rsidP="00D344E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Hãng </w:t>
      </w:r>
      <w:r w:rsidRPr="00D344EE">
        <w:rPr>
          <w:rStyle w:val="Emphasis"/>
          <w:rFonts w:ascii="Times New Roman" w:hAnsi="Times New Roman" w:cs="Times New Roman"/>
          <w:i w:val="0"/>
          <w:sz w:val="26"/>
          <w:szCs w:val="26"/>
        </w:rPr>
        <w:t>China Southern Airlines có trụ sở tại Quảng Châu đã báo cáo sự gia tăng lưu lượng hàng hóa từ 2</w:t>
      </w:r>
      <w:proofErr w:type="gramStart"/>
      <w:r w:rsidRPr="00D344EE">
        <w:rPr>
          <w:rStyle w:val="Emphasis"/>
          <w:rFonts w:ascii="Times New Roman" w:hAnsi="Times New Roman" w:cs="Times New Roman"/>
          <w:i w:val="0"/>
          <w:sz w:val="26"/>
          <w:szCs w:val="26"/>
        </w:rPr>
        <w:t>,0</w:t>
      </w:r>
      <w:proofErr w:type="gramEnd"/>
      <w:r w:rsidRPr="00D344EE">
        <w:rPr>
          <w:rStyle w:val="Emphasis"/>
          <w:rFonts w:ascii="Times New Roman" w:hAnsi="Times New Roman" w:cs="Times New Roman"/>
          <w:i w:val="0"/>
          <w:sz w:val="26"/>
          <w:szCs w:val="26"/>
        </w:rPr>
        <w:t>% lên 675 triệu RTK mỗi năm. 11</w:t>
      </w:r>
      <w:r>
        <w:rPr>
          <w:rStyle w:val="Emphasis"/>
          <w:rFonts w:ascii="Times New Roman" w:hAnsi="Times New Roman" w:cs="Times New Roman"/>
          <w:i w:val="0"/>
          <w:sz w:val="26"/>
          <w:szCs w:val="26"/>
        </w:rPr>
        <w:t xml:space="preserve"> tháng 2018, lượng hàng hóa vận chuyển </w:t>
      </w:r>
      <w:r w:rsidRPr="00D344EE">
        <w:rPr>
          <w:rStyle w:val="Emphasis"/>
          <w:rFonts w:ascii="Times New Roman" w:hAnsi="Times New Roman" w:cs="Times New Roman"/>
          <w:i w:val="0"/>
          <w:sz w:val="26"/>
          <w:szCs w:val="26"/>
        </w:rPr>
        <w:t>tăng 7</w:t>
      </w:r>
      <w:proofErr w:type="gramStart"/>
      <w:r w:rsidRPr="00D344EE">
        <w:rPr>
          <w:rStyle w:val="Emphasis"/>
          <w:rFonts w:ascii="Times New Roman" w:hAnsi="Times New Roman" w:cs="Times New Roman"/>
          <w:i w:val="0"/>
          <w:sz w:val="26"/>
          <w:szCs w:val="26"/>
        </w:rPr>
        <w:t>,0</w:t>
      </w:r>
      <w:proofErr w:type="gramEnd"/>
      <w:r w:rsidRPr="00D344EE">
        <w:rPr>
          <w:rStyle w:val="Emphasis"/>
          <w:rFonts w:ascii="Times New Roman" w:hAnsi="Times New Roman" w:cs="Times New Roman"/>
          <w:i w:val="0"/>
          <w:sz w:val="26"/>
          <w:szCs w:val="26"/>
        </w:rPr>
        <w:t>% lên 6,9 tỷ RTK. Tổng trọng tải hàng hóa và thư đã giảm 1</w:t>
      </w:r>
      <w:proofErr w:type="gramStart"/>
      <w:r w:rsidRPr="00D344EE">
        <w:rPr>
          <w:rStyle w:val="Emphasis"/>
          <w:rFonts w:ascii="Times New Roman" w:hAnsi="Times New Roman" w:cs="Times New Roman"/>
          <w:i w:val="0"/>
          <w:sz w:val="26"/>
          <w:szCs w:val="26"/>
        </w:rPr>
        <w:t>,8</w:t>
      </w:r>
      <w:proofErr w:type="gramEnd"/>
      <w:r w:rsidRPr="00D344EE">
        <w:rPr>
          <w:rStyle w:val="Emphasis"/>
          <w:rFonts w:ascii="Times New Roman" w:hAnsi="Times New Roman" w:cs="Times New Roman"/>
          <w:i w:val="0"/>
          <w:sz w:val="26"/>
          <w:szCs w:val="26"/>
        </w:rPr>
        <w:t>% so với cùng kỳ trong tháng 11</w:t>
      </w:r>
      <w:r>
        <w:rPr>
          <w:rStyle w:val="Emphasis"/>
          <w:rFonts w:ascii="Times New Roman" w:hAnsi="Times New Roman" w:cs="Times New Roman"/>
          <w:i w:val="0"/>
          <w:sz w:val="26"/>
          <w:szCs w:val="26"/>
        </w:rPr>
        <w:t>/2018</w:t>
      </w:r>
      <w:r w:rsidRPr="00D344EE">
        <w:rPr>
          <w:rStyle w:val="Emphasis"/>
          <w:rFonts w:ascii="Times New Roman" w:hAnsi="Times New Roman" w:cs="Times New Roman"/>
          <w:i w:val="0"/>
          <w:sz w:val="26"/>
          <w:szCs w:val="26"/>
        </w:rPr>
        <w:t xml:space="preserve"> xuống còn 152.280 tấn - tăng 5,3% so với tháng trước.</w:t>
      </w:r>
    </w:p>
    <w:p w:rsidR="00D344EE" w:rsidRPr="00D344EE" w:rsidRDefault="00D344EE" w:rsidP="006579EB">
      <w:pPr>
        <w:shd w:val="clear" w:color="auto" w:fill="FFFFFF"/>
        <w:spacing w:after="177" w:line="312" w:lineRule="auto"/>
        <w:ind w:firstLine="720"/>
        <w:jc w:val="both"/>
        <w:rPr>
          <w:rStyle w:val="Emphasis"/>
          <w:rFonts w:ascii="Times New Roman" w:hAnsi="Times New Roman" w:cs="Times New Roman"/>
          <w:i w:val="0"/>
          <w:sz w:val="26"/>
          <w:szCs w:val="26"/>
        </w:rPr>
      </w:pPr>
      <w:r w:rsidRPr="00D344EE">
        <w:rPr>
          <w:rStyle w:val="Emphasis"/>
          <w:rFonts w:ascii="Times New Roman" w:hAnsi="Times New Roman" w:cs="Times New Roman"/>
          <w:i w:val="0"/>
          <w:sz w:val="26"/>
          <w:szCs w:val="26"/>
        </w:rPr>
        <w:t>Sân bay quốc tế Hồng Kông (HKG) đã báo cáo lượng hàng hóa trong tháng 11</w:t>
      </w:r>
      <w:r w:rsidR="006579EB">
        <w:rPr>
          <w:rStyle w:val="Emphasis"/>
          <w:rFonts w:ascii="Times New Roman" w:hAnsi="Times New Roman" w:cs="Times New Roman"/>
          <w:i w:val="0"/>
          <w:sz w:val="26"/>
          <w:szCs w:val="26"/>
        </w:rPr>
        <w:t>/2018</w:t>
      </w:r>
      <w:r w:rsidRPr="00D344EE">
        <w:rPr>
          <w:rStyle w:val="Emphasis"/>
          <w:rFonts w:ascii="Times New Roman" w:hAnsi="Times New Roman" w:cs="Times New Roman"/>
          <w:i w:val="0"/>
          <w:sz w:val="26"/>
          <w:szCs w:val="26"/>
        </w:rPr>
        <w:t xml:space="preserve"> giảm 2</w:t>
      </w:r>
      <w:proofErr w:type="gramStart"/>
      <w:r w:rsidRPr="00D344EE">
        <w:rPr>
          <w:rStyle w:val="Emphasis"/>
          <w:rFonts w:ascii="Times New Roman" w:hAnsi="Times New Roman" w:cs="Times New Roman"/>
          <w:i w:val="0"/>
          <w:sz w:val="26"/>
          <w:szCs w:val="26"/>
        </w:rPr>
        <w:t>,0</w:t>
      </w:r>
      <w:proofErr w:type="gramEnd"/>
      <w:r w:rsidRPr="00D344EE">
        <w:rPr>
          <w:rStyle w:val="Emphasis"/>
          <w:rFonts w:ascii="Times New Roman" w:hAnsi="Times New Roman" w:cs="Times New Roman"/>
          <w:i w:val="0"/>
          <w:sz w:val="26"/>
          <w:szCs w:val="26"/>
        </w:rPr>
        <w:t xml:space="preserve">% so với cùng kỳ xuống còn 466.000 tấn. </w:t>
      </w:r>
      <w:r w:rsidR="006579EB">
        <w:rPr>
          <w:rStyle w:val="Emphasis"/>
          <w:rFonts w:ascii="Times New Roman" w:hAnsi="Times New Roman" w:cs="Times New Roman"/>
          <w:i w:val="0"/>
          <w:sz w:val="26"/>
          <w:szCs w:val="26"/>
        </w:rPr>
        <w:t xml:space="preserve">11 tháng đầu năm, lưu </w:t>
      </w:r>
      <w:r w:rsidR="006579EB">
        <w:rPr>
          <w:rStyle w:val="Emphasis"/>
          <w:rFonts w:ascii="Times New Roman" w:hAnsi="Times New Roman" w:cs="Times New Roman"/>
          <w:i w:val="0"/>
          <w:sz w:val="26"/>
          <w:szCs w:val="26"/>
        </w:rPr>
        <w:lastRenderedPageBreak/>
        <w:t xml:space="preserve">lượng vận chuyển </w:t>
      </w:r>
      <w:r w:rsidRPr="00D344EE">
        <w:rPr>
          <w:rStyle w:val="Emphasis"/>
          <w:rFonts w:ascii="Times New Roman" w:hAnsi="Times New Roman" w:cs="Times New Roman"/>
          <w:i w:val="0"/>
          <w:sz w:val="26"/>
          <w:szCs w:val="26"/>
        </w:rPr>
        <w:t>của HKG đã tăng 2</w:t>
      </w:r>
      <w:proofErr w:type="gramStart"/>
      <w:r w:rsidRPr="00D344EE">
        <w:rPr>
          <w:rStyle w:val="Emphasis"/>
          <w:rFonts w:ascii="Times New Roman" w:hAnsi="Times New Roman" w:cs="Times New Roman"/>
          <w:i w:val="0"/>
          <w:sz w:val="26"/>
          <w:szCs w:val="26"/>
        </w:rPr>
        <w:t>,5</w:t>
      </w:r>
      <w:proofErr w:type="gramEnd"/>
      <w:r w:rsidRPr="00D344EE">
        <w:rPr>
          <w:rStyle w:val="Emphasis"/>
          <w:rFonts w:ascii="Times New Roman" w:hAnsi="Times New Roman" w:cs="Times New Roman"/>
          <w:i w:val="0"/>
          <w:sz w:val="26"/>
          <w:szCs w:val="26"/>
        </w:rPr>
        <w:t xml:space="preserve">%. Sân bay cho biết tất cả các tuyến đường </w:t>
      </w:r>
      <w:r w:rsidR="006579EB">
        <w:rPr>
          <w:rStyle w:val="Emphasis"/>
          <w:rFonts w:ascii="Times New Roman" w:hAnsi="Times New Roman" w:cs="Times New Roman"/>
          <w:i w:val="0"/>
          <w:sz w:val="26"/>
          <w:szCs w:val="26"/>
        </w:rPr>
        <w:t>đều</w:t>
      </w:r>
      <w:r w:rsidRPr="00D344EE">
        <w:rPr>
          <w:rStyle w:val="Emphasis"/>
          <w:rFonts w:ascii="Times New Roman" w:hAnsi="Times New Roman" w:cs="Times New Roman"/>
          <w:i w:val="0"/>
          <w:sz w:val="26"/>
          <w:szCs w:val="26"/>
        </w:rPr>
        <w:t xml:space="preserve"> giảm hệ số tải hàng hóa, thấp hơn 3</w:t>
      </w:r>
      <w:proofErr w:type="gramStart"/>
      <w:r w:rsidRPr="00D344EE">
        <w:rPr>
          <w:rStyle w:val="Emphasis"/>
          <w:rFonts w:ascii="Times New Roman" w:hAnsi="Times New Roman" w:cs="Times New Roman"/>
          <w:i w:val="0"/>
          <w:sz w:val="26"/>
          <w:szCs w:val="26"/>
        </w:rPr>
        <w:t>,4</w:t>
      </w:r>
      <w:proofErr w:type="gramEnd"/>
      <w:r w:rsidRPr="00D344EE">
        <w:rPr>
          <w:rStyle w:val="Emphasis"/>
          <w:rFonts w:ascii="Times New Roman" w:hAnsi="Times New Roman" w:cs="Times New Roman"/>
          <w:i w:val="0"/>
          <w:sz w:val="26"/>
          <w:szCs w:val="26"/>
        </w:rPr>
        <w:t>%, do nhu cầu không theo kịp sự thay đổi công suấ</w:t>
      </w:r>
      <w:r w:rsidR="006579EB">
        <w:rPr>
          <w:rStyle w:val="Emphasis"/>
          <w:rFonts w:ascii="Times New Roman" w:hAnsi="Times New Roman" w:cs="Times New Roman"/>
          <w:i w:val="0"/>
          <w:sz w:val="26"/>
          <w:szCs w:val="26"/>
        </w:rPr>
        <w:t>t.</w:t>
      </w:r>
    </w:p>
    <w:p w:rsidR="00D344EE" w:rsidRPr="00D344EE" w:rsidRDefault="00D344EE" w:rsidP="00D344EE">
      <w:pPr>
        <w:shd w:val="clear" w:color="auto" w:fill="FFFFFF"/>
        <w:spacing w:after="177" w:line="312" w:lineRule="auto"/>
        <w:ind w:firstLine="720"/>
        <w:jc w:val="both"/>
        <w:rPr>
          <w:rStyle w:val="Emphasis"/>
          <w:rFonts w:ascii="Times New Roman" w:hAnsi="Times New Roman" w:cs="Times New Roman"/>
          <w:i w:val="0"/>
          <w:sz w:val="26"/>
          <w:szCs w:val="26"/>
        </w:rPr>
      </w:pPr>
      <w:r w:rsidRPr="00D344EE">
        <w:rPr>
          <w:rStyle w:val="Emphasis"/>
          <w:rFonts w:ascii="Times New Roman" w:hAnsi="Times New Roman" w:cs="Times New Roman"/>
          <w:i w:val="0"/>
          <w:sz w:val="26"/>
          <w:szCs w:val="26"/>
        </w:rPr>
        <w:t xml:space="preserve">Công ty TNHH Hàng hóa Sân bay Quốc tế Thượng Hải Pudong (Pactl, công ty xử lý hàng hóa lớn nhất tại Sân bay Shanghai Pudong) đã báo cáo việc </w:t>
      </w:r>
      <w:r w:rsidR="006579EB">
        <w:rPr>
          <w:rStyle w:val="Emphasis"/>
          <w:rFonts w:ascii="Times New Roman" w:hAnsi="Times New Roman" w:cs="Times New Roman"/>
          <w:i w:val="0"/>
          <w:sz w:val="26"/>
          <w:szCs w:val="26"/>
        </w:rPr>
        <w:t>lượng hàng hóa được xử lý</w:t>
      </w:r>
      <w:r w:rsidRPr="00D344EE">
        <w:rPr>
          <w:rStyle w:val="Emphasis"/>
          <w:rFonts w:ascii="Times New Roman" w:hAnsi="Times New Roman" w:cs="Times New Roman"/>
          <w:i w:val="0"/>
          <w:sz w:val="26"/>
          <w:szCs w:val="26"/>
        </w:rPr>
        <w:t xml:space="preserve"> trong tháng 11</w:t>
      </w:r>
      <w:r w:rsidR="006579EB">
        <w:rPr>
          <w:rStyle w:val="Emphasis"/>
          <w:rFonts w:ascii="Times New Roman" w:hAnsi="Times New Roman" w:cs="Times New Roman"/>
          <w:i w:val="0"/>
          <w:sz w:val="26"/>
          <w:szCs w:val="26"/>
        </w:rPr>
        <w:t>/2018</w:t>
      </w:r>
      <w:r w:rsidRPr="00D344EE">
        <w:rPr>
          <w:rStyle w:val="Emphasis"/>
          <w:rFonts w:ascii="Times New Roman" w:hAnsi="Times New Roman" w:cs="Times New Roman"/>
          <w:i w:val="0"/>
          <w:sz w:val="26"/>
          <w:szCs w:val="26"/>
        </w:rPr>
        <w:t xml:space="preserve"> giả</w:t>
      </w:r>
      <w:r w:rsidR="006579EB">
        <w:rPr>
          <w:rStyle w:val="Emphasis"/>
          <w:rFonts w:ascii="Times New Roman" w:hAnsi="Times New Roman" w:cs="Times New Roman"/>
          <w:i w:val="0"/>
          <w:sz w:val="26"/>
          <w:szCs w:val="26"/>
        </w:rPr>
        <w:t xml:space="preserve">m 5,1% so với cùng kỳ </w:t>
      </w:r>
      <w:r w:rsidRPr="00D344EE">
        <w:rPr>
          <w:rStyle w:val="Emphasis"/>
          <w:rFonts w:ascii="Times New Roman" w:hAnsi="Times New Roman" w:cs="Times New Roman"/>
          <w:i w:val="0"/>
          <w:sz w:val="26"/>
          <w:szCs w:val="26"/>
        </w:rPr>
        <w:t>xuống còn 167.134 tấn. Khối lượng hàng hóa quốc tế giảm 5</w:t>
      </w:r>
      <w:proofErr w:type="gramStart"/>
      <w:r w:rsidRPr="00D344EE">
        <w:rPr>
          <w:rStyle w:val="Emphasis"/>
          <w:rFonts w:ascii="Times New Roman" w:hAnsi="Times New Roman" w:cs="Times New Roman"/>
          <w:i w:val="0"/>
          <w:sz w:val="26"/>
          <w:szCs w:val="26"/>
        </w:rPr>
        <w:t>,1</w:t>
      </w:r>
      <w:proofErr w:type="gramEnd"/>
      <w:r w:rsidRPr="00D344EE">
        <w:rPr>
          <w:rStyle w:val="Emphasis"/>
          <w:rFonts w:ascii="Times New Roman" w:hAnsi="Times New Roman" w:cs="Times New Roman"/>
          <w:i w:val="0"/>
          <w:sz w:val="26"/>
          <w:szCs w:val="26"/>
        </w:rPr>
        <w:t>%. Khối lượng trong nước đã giả</w:t>
      </w:r>
      <w:r w:rsidR="006579EB">
        <w:rPr>
          <w:rStyle w:val="Emphasis"/>
          <w:rFonts w:ascii="Times New Roman" w:hAnsi="Times New Roman" w:cs="Times New Roman"/>
          <w:i w:val="0"/>
          <w:sz w:val="26"/>
          <w:szCs w:val="26"/>
        </w:rPr>
        <w:t>m 10</w:t>
      </w:r>
      <w:proofErr w:type="gramStart"/>
      <w:r w:rsidR="006579EB">
        <w:rPr>
          <w:rStyle w:val="Emphasis"/>
          <w:rFonts w:ascii="Times New Roman" w:hAnsi="Times New Roman" w:cs="Times New Roman"/>
          <w:i w:val="0"/>
          <w:sz w:val="26"/>
          <w:szCs w:val="26"/>
        </w:rPr>
        <w:t>,6</w:t>
      </w:r>
      <w:proofErr w:type="gramEnd"/>
      <w:r w:rsidR="006579EB">
        <w:rPr>
          <w:rStyle w:val="Emphasis"/>
          <w:rFonts w:ascii="Times New Roman" w:hAnsi="Times New Roman" w:cs="Times New Roman"/>
          <w:i w:val="0"/>
          <w:sz w:val="26"/>
          <w:szCs w:val="26"/>
        </w:rPr>
        <w:t>%</w:t>
      </w:r>
      <w:r w:rsidRPr="00D344EE">
        <w:rPr>
          <w:rStyle w:val="Emphasis"/>
          <w:rFonts w:ascii="Times New Roman" w:hAnsi="Times New Roman" w:cs="Times New Roman"/>
          <w:i w:val="0"/>
          <w:sz w:val="26"/>
          <w:szCs w:val="26"/>
        </w:rPr>
        <w:t>..</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9" w:name="_Toc535681060"/>
      <w:r w:rsidRPr="00105E9D">
        <w:rPr>
          <w:rFonts w:ascii="Times New Roman" w:hAnsi="Times New Roman" w:cs="Times New Roman"/>
          <w:b/>
          <w:sz w:val="26"/>
          <w:szCs w:val="26"/>
        </w:rPr>
        <w:t>Các hoạt động khác:</w:t>
      </w:r>
      <w:bookmarkEnd w:id="19"/>
    </w:p>
    <w:p w:rsidR="00376FF5" w:rsidRDefault="00606F25" w:rsidP="00376FF5">
      <w:pPr>
        <w:pStyle w:val="ListParagraph"/>
        <w:numPr>
          <w:ilvl w:val="1"/>
          <w:numId w:val="1"/>
        </w:numPr>
        <w:spacing w:line="312" w:lineRule="auto"/>
        <w:outlineLvl w:val="1"/>
        <w:rPr>
          <w:rFonts w:ascii="Times New Roman" w:hAnsi="Times New Roman" w:cs="Times New Roman"/>
          <w:b/>
          <w:i/>
          <w:sz w:val="26"/>
          <w:szCs w:val="26"/>
        </w:rPr>
      </w:pPr>
      <w:bookmarkStart w:id="20" w:name="_Toc535681061"/>
      <w:r w:rsidRPr="00C45DE0">
        <w:rPr>
          <w:rFonts w:ascii="Times New Roman" w:hAnsi="Times New Roman" w:cs="Times New Roman"/>
          <w:b/>
          <w:i/>
          <w:sz w:val="26"/>
          <w:szCs w:val="26"/>
        </w:rPr>
        <w:t>Cảng biển</w:t>
      </w:r>
      <w:bookmarkEnd w:id="20"/>
    </w:p>
    <w:p w:rsidR="00515D9C" w:rsidRDefault="00606F2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Lượng hàng hóa qua các cảng biển</w:t>
      </w:r>
      <w:r w:rsidR="00E464B8" w:rsidRPr="00376FF5">
        <w:rPr>
          <w:rStyle w:val="Emphasis"/>
          <w:rFonts w:ascii="Times New Roman" w:hAnsi="Times New Roman" w:cs="Times New Roman"/>
          <w:i w:val="0"/>
          <w:sz w:val="26"/>
          <w:szCs w:val="26"/>
        </w:rPr>
        <w:t xml:space="preserve"> chính</w:t>
      </w:r>
      <w:r w:rsidRPr="00376FF5">
        <w:rPr>
          <w:rStyle w:val="Emphasis"/>
          <w:rFonts w:ascii="Times New Roman" w:hAnsi="Times New Roman" w:cs="Times New Roman"/>
          <w:i w:val="0"/>
          <w:sz w:val="26"/>
          <w:szCs w:val="26"/>
        </w:rPr>
        <w:t xml:space="preserve"> của Trung Quốc </w:t>
      </w:r>
      <w:r w:rsidR="00376FF5" w:rsidRPr="00376FF5">
        <w:rPr>
          <w:rStyle w:val="Emphasis"/>
          <w:rFonts w:ascii="Times New Roman" w:hAnsi="Times New Roman" w:cs="Times New Roman"/>
          <w:i w:val="0"/>
          <w:sz w:val="26"/>
          <w:szCs w:val="26"/>
        </w:rPr>
        <w:t xml:space="preserve">đạt </w:t>
      </w:r>
      <w:r w:rsidR="0036466C">
        <w:rPr>
          <w:rStyle w:val="Emphasis"/>
          <w:rFonts w:ascii="Times New Roman" w:hAnsi="Times New Roman" w:cs="Times New Roman"/>
          <w:i w:val="0"/>
          <w:sz w:val="26"/>
          <w:szCs w:val="26"/>
        </w:rPr>
        <w:t>754</w:t>
      </w:r>
      <w:proofErr w:type="gramStart"/>
      <w:r w:rsidR="0036466C">
        <w:rPr>
          <w:rStyle w:val="Emphasis"/>
          <w:rFonts w:ascii="Times New Roman" w:hAnsi="Times New Roman" w:cs="Times New Roman"/>
          <w:i w:val="0"/>
          <w:sz w:val="26"/>
          <w:szCs w:val="26"/>
        </w:rPr>
        <w:t>,8</w:t>
      </w:r>
      <w:proofErr w:type="gramEnd"/>
      <w:r w:rsidR="0036466C">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triệu</w:t>
      </w:r>
      <w:r w:rsidR="00376FF5" w:rsidRPr="00376FF5">
        <w:rPr>
          <w:rStyle w:val="Emphasis"/>
          <w:rFonts w:ascii="Times New Roman" w:hAnsi="Times New Roman" w:cs="Times New Roman"/>
          <w:i w:val="0"/>
          <w:sz w:val="26"/>
          <w:szCs w:val="26"/>
        </w:rPr>
        <w:t xml:space="preserve"> tấn</w:t>
      </w:r>
      <w:r w:rsidR="00515D9C">
        <w:rPr>
          <w:rStyle w:val="Emphasis"/>
          <w:rFonts w:ascii="Times New Roman" w:hAnsi="Times New Roman" w:cs="Times New Roman"/>
          <w:i w:val="0"/>
          <w:sz w:val="26"/>
          <w:szCs w:val="26"/>
        </w:rPr>
        <w:t xml:space="preserve"> trong tháng </w:t>
      </w:r>
      <w:r w:rsidR="0036466C">
        <w:rPr>
          <w:rStyle w:val="Emphasis"/>
          <w:rFonts w:ascii="Times New Roman" w:hAnsi="Times New Roman" w:cs="Times New Roman"/>
          <w:i w:val="0"/>
          <w:sz w:val="26"/>
          <w:szCs w:val="26"/>
        </w:rPr>
        <w:t>11</w:t>
      </w:r>
      <w:r w:rsidR="00515D9C">
        <w:rPr>
          <w:rStyle w:val="Emphasis"/>
          <w:rFonts w:ascii="Times New Roman" w:hAnsi="Times New Roman" w:cs="Times New Roman"/>
          <w:i w:val="0"/>
          <w:sz w:val="26"/>
          <w:szCs w:val="26"/>
        </w:rPr>
        <w:t>/2018</w:t>
      </w:r>
      <w:r w:rsidR="00376FF5" w:rsidRPr="00376FF5">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nhẹ</w:t>
      </w:r>
      <w:r w:rsidR="0036466C">
        <w:rPr>
          <w:rStyle w:val="Emphasis"/>
          <w:rFonts w:ascii="Times New Roman" w:hAnsi="Times New Roman" w:cs="Times New Roman"/>
          <w:i w:val="0"/>
          <w:sz w:val="26"/>
          <w:szCs w:val="26"/>
        </w:rPr>
        <w:t xml:space="preserve"> 3,3</w:t>
      </w:r>
      <w:r w:rsidR="00515D9C">
        <w:rPr>
          <w:rStyle w:val="Emphasis"/>
          <w:rFonts w:ascii="Times New Roman" w:hAnsi="Times New Roman" w:cs="Times New Roman"/>
          <w:i w:val="0"/>
          <w:sz w:val="26"/>
          <w:szCs w:val="26"/>
        </w:rPr>
        <w:t>% so với cùng kỳ</w:t>
      </w:r>
      <w:r w:rsidR="00533774">
        <w:rPr>
          <w:rStyle w:val="Emphasis"/>
          <w:rFonts w:ascii="Times New Roman" w:hAnsi="Times New Roman" w:cs="Times New Roman"/>
          <w:i w:val="0"/>
          <w:sz w:val="26"/>
          <w:szCs w:val="26"/>
        </w:rPr>
        <w:t xml:space="preserve"> năm trước</w:t>
      </w:r>
      <w:r w:rsidR="00376FF5" w:rsidRPr="00376FF5">
        <w:rPr>
          <w:rStyle w:val="Emphasis"/>
          <w:rFonts w:ascii="Times New Roman" w:hAnsi="Times New Roman" w:cs="Times New Roman"/>
          <w:i w:val="0"/>
          <w:sz w:val="26"/>
          <w:szCs w:val="26"/>
        </w:rPr>
        <w:t xml:space="preserve">.  </w:t>
      </w:r>
    </w:p>
    <w:p w:rsidR="00606F25" w:rsidRPr="00376FF5" w:rsidRDefault="00376FF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 xml:space="preserve">Tính chung </w:t>
      </w:r>
      <w:r w:rsidR="0036466C">
        <w:rPr>
          <w:rStyle w:val="Emphasis"/>
          <w:rFonts w:ascii="Times New Roman" w:hAnsi="Times New Roman" w:cs="Times New Roman"/>
          <w:i w:val="0"/>
          <w:sz w:val="26"/>
          <w:szCs w:val="26"/>
        </w:rPr>
        <w:t>11</w:t>
      </w:r>
      <w:r w:rsidRPr="00376FF5">
        <w:rPr>
          <w:rStyle w:val="Emphasis"/>
          <w:rFonts w:ascii="Times New Roman" w:hAnsi="Times New Roman" w:cs="Times New Roman"/>
          <w:i w:val="0"/>
          <w:sz w:val="26"/>
          <w:szCs w:val="26"/>
        </w:rPr>
        <w:t xml:space="preserve"> tháng đầu năm nay </w:t>
      </w:r>
      <w:r w:rsidR="00515D9C">
        <w:rPr>
          <w:rStyle w:val="Emphasis"/>
          <w:rFonts w:ascii="Times New Roman" w:hAnsi="Times New Roman" w:cs="Times New Roman"/>
          <w:i w:val="0"/>
          <w:sz w:val="26"/>
          <w:szCs w:val="26"/>
        </w:rPr>
        <w:t xml:space="preserve">đạt </w:t>
      </w:r>
      <w:r w:rsidR="0036466C">
        <w:rPr>
          <w:rStyle w:val="Emphasis"/>
          <w:rFonts w:ascii="Times New Roman" w:hAnsi="Times New Roman" w:cs="Times New Roman"/>
          <w:i w:val="0"/>
          <w:sz w:val="26"/>
          <w:szCs w:val="26"/>
        </w:rPr>
        <w:t>8</w:t>
      </w:r>
      <w:proofErr w:type="gramStart"/>
      <w:r w:rsidR="0036466C">
        <w:rPr>
          <w:rStyle w:val="Emphasis"/>
          <w:rFonts w:ascii="Times New Roman" w:hAnsi="Times New Roman" w:cs="Times New Roman"/>
          <w:i w:val="0"/>
          <w:sz w:val="26"/>
          <w:szCs w:val="26"/>
        </w:rPr>
        <w:t>,48</w:t>
      </w:r>
      <w:proofErr w:type="gramEnd"/>
      <w:r w:rsidR="00515D9C">
        <w:rPr>
          <w:rStyle w:val="Emphasis"/>
          <w:rFonts w:ascii="Times New Roman" w:hAnsi="Times New Roman" w:cs="Times New Roman"/>
          <w:i w:val="0"/>
          <w:sz w:val="26"/>
          <w:szCs w:val="26"/>
        </w:rPr>
        <w:t xml:space="preserve"> tỷ</w:t>
      </w:r>
      <w:r w:rsidR="000C3CBD" w:rsidRPr="000C3CBD">
        <w:rPr>
          <w:rStyle w:val="Emphasis"/>
          <w:rFonts w:ascii="Times New Roman" w:hAnsi="Times New Roman" w:cs="Times New Roman"/>
          <w:i w:val="0"/>
          <w:sz w:val="26"/>
          <w:szCs w:val="26"/>
        </w:rPr>
        <w:t xml:space="preserve"> </w:t>
      </w:r>
      <w:r w:rsidRPr="000C3CBD">
        <w:rPr>
          <w:rStyle w:val="Emphasis"/>
          <w:rFonts w:ascii="Times New Roman" w:hAnsi="Times New Roman" w:cs="Times New Roman"/>
          <w:i w:val="0"/>
          <w:sz w:val="26"/>
          <w:szCs w:val="26"/>
        </w:rPr>
        <w:t>tấ</w:t>
      </w:r>
      <w:r w:rsidR="003C73B3" w:rsidRPr="000C3CBD">
        <w:rPr>
          <w:rStyle w:val="Emphasis"/>
          <w:rFonts w:ascii="Times New Roman" w:hAnsi="Times New Roman" w:cs="Times New Roman"/>
          <w:i w:val="0"/>
          <w:sz w:val="26"/>
          <w:szCs w:val="26"/>
        </w:rPr>
        <w:t>n</w:t>
      </w:r>
      <w:r w:rsidR="003C73B3">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4,</w:t>
      </w:r>
      <w:r w:rsidR="0036466C">
        <w:rPr>
          <w:rStyle w:val="Emphasis"/>
          <w:rFonts w:ascii="Times New Roman" w:hAnsi="Times New Roman" w:cs="Times New Roman"/>
          <w:i w:val="0"/>
          <w:sz w:val="26"/>
          <w:szCs w:val="26"/>
        </w:rPr>
        <w:t>3</w:t>
      </w:r>
      <w:r w:rsidRPr="00376FF5">
        <w:rPr>
          <w:rStyle w:val="Emphasis"/>
          <w:rFonts w:ascii="Times New Roman" w:hAnsi="Times New Roman" w:cs="Times New Roman"/>
          <w:i w:val="0"/>
          <w:sz w:val="26"/>
          <w:szCs w:val="26"/>
        </w:rPr>
        <w:t xml:space="preserve">% so với cùng kỳ năm 2017. </w:t>
      </w:r>
    </w:p>
    <w:p w:rsidR="00E464B8" w:rsidRDefault="0066750D" w:rsidP="007C66DE">
      <w:pPr>
        <w:shd w:val="clear" w:color="auto" w:fill="FFFFFF"/>
        <w:spacing w:after="0" w:line="240" w:lineRule="auto"/>
        <w:ind w:firstLine="720"/>
        <w:jc w:val="center"/>
        <w:rPr>
          <w:rFonts w:ascii="Times New Roman" w:hAnsi="Times New Roman" w:cs="Times New Roman"/>
          <w:b/>
          <w:sz w:val="26"/>
          <w:szCs w:val="26"/>
        </w:rPr>
      </w:pPr>
      <w:bookmarkStart w:id="21" w:name="_Toc535681070"/>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579EB">
        <w:rPr>
          <w:rFonts w:ascii="Times New Roman" w:hAnsi="Times New Roman" w:cs="Times New Roman"/>
          <w:b/>
          <w:noProof/>
          <w:sz w:val="26"/>
          <w:szCs w:val="26"/>
        </w:rPr>
        <w:t>8</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21"/>
      <w:r w:rsidR="00E464B8">
        <w:rPr>
          <w:rFonts w:ascii="Times New Roman" w:hAnsi="Times New Roman" w:cs="Times New Roman"/>
          <w:b/>
          <w:sz w:val="26"/>
          <w:szCs w:val="26"/>
        </w:rPr>
        <w:t xml:space="preserve"> </w:t>
      </w:r>
    </w:p>
    <w:p w:rsidR="005211BD" w:rsidRPr="00024A7D" w:rsidRDefault="00E464B8" w:rsidP="00024A7D">
      <w:pPr>
        <w:shd w:val="clear" w:color="auto" w:fill="FFFFFF"/>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Đvt: </w:t>
      </w:r>
      <w:r w:rsidR="0066750D" w:rsidRPr="00105E9D">
        <w:rPr>
          <w:rFonts w:ascii="Times New Roman" w:hAnsi="Times New Roman" w:cs="Times New Roman"/>
          <w:b/>
          <w:sz w:val="26"/>
          <w:szCs w:val="26"/>
        </w:rPr>
        <w:t>10.000 tấn</w:t>
      </w:r>
    </w:p>
    <w:p w:rsidR="00FC0911" w:rsidRDefault="00024A7D" w:rsidP="00F72CDD">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5A7E28A3" wp14:editId="34E9CC22">
            <wp:extent cx="4572000" cy="2527300"/>
            <wp:effectExtent l="0" t="0" r="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E1C76" w:rsidRPr="00105E9D">
        <w:rPr>
          <w:rStyle w:val="Emphasis"/>
          <w:rFonts w:ascii="Times New Roman" w:hAnsi="Times New Roman" w:cs="Times New Roman"/>
          <w:sz w:val="26"/>
          <w:szCs w:val="26"/>
        </w:rPr>
        <w:t>Nguồn: tính toán từ số liệu của cơ quan thống kê quốc gia Trung Quốc</w:t>
      </w:r>
    </w:p>
    <w:p w:rsidR="00BB64CB" w:rsidRPr="00BB64CB" w:rsidRDefault="00BB64CB" w:rsidP="00BB64CB">
      <w:pPr>
        <w:shd w:val="clear" w:color="auto" w:fill="FFFFFF"/>
        <w:spacing w:after="177"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Do cá</w:t>
      </w:r>
      <w:r w:rsidRPr="00BB64CB">
        <w:rPr>
          <w:rStyle w:val="Emphasis"/>
          <w:rFonts w:ascii="Times New Roman" w:hAnsi="Times New Roman" w:cs="Times New Roman"/>
          <w:i w:val="0"/>
          <w:iCs w:val="0"/>
          <w:sz w:val="26"/>
          <w:szCs w:val="26"/>
        </w:rPr>
        <w:t>c cảng dọc theo sông Dương Tử không đủ sâu để chứa các tàu container lớn hơn đang được các công ty vận tải sử dụng ngày càng nhiều</w:t>
      </w:r>
      <w:r>
        <w:rPr>
          <w:rStyle w:val="Emphasis"/>
          <w:rFonts w:ascii="Times New Roman" w:hAnsi="Times New Roman" w:cs="Times New Roman"/>
          <w:i w:val="0"/>
          <w:iCs w:val="0"/>
          <w:sz w:val="26"/>
          <w:szCs w:val="26"/>
        </w:rPr>
        <w:t xml:space="preserve"> nên</w:t>
      </w:r>
      <w:r w:rsidRPr="00BB64CB">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sau khi </w:t>
      </w:r>
      <w:r w:rsidRPr="00BB64CB">
        <w:rPr>
          <w:rStyle w:val="Emphasis"/>
          <w:rFonts w:ascii="Times New Roman" w:hAnsi="Times New Roman" w:cs="Times New Roman"/>
          <w:i w:val="0"/>
          <w:iCs w:val="0"/>
          <w:sz w:val="26"/>
          <w:szCs w:val="26"/>
        </w:rPr>
        <w:t>xem xét lựa chọn,</w:t>
      </w:r>
      <w:r>
        <w:rPr>
          <w:rStyle w:val="Emphasis"/>
          <w:rFonts w:ascii="Times New Roman" w:hAnsi="Times New Roman" w:cs="Times New Roman"/>
          <w:i w:val="0"/>
          <w:iCs w:val="0"/>
          <w:sz w:val="26"/>
          <w:szCs w:val="26"/>
        </w:rPr>
        <w:t xml:space="preserve"> Chính quyền Thượng Hải</w:t>
      </w:r>
      <w:r w:rsidRPr="00BB64CB">
        <w:rPr>
          <w:rStyle w:val="Emphasis"/>
          <w:rFonts w:ascii="Times New Roman" w:hAnsi="Times New Roman" w:cs="Times New Roman"/>
          <w:i w:val="0"/>
          <w:iCs w:val="0"/>
          <w:sz w:val="26"/>
          <w:szCs w:val="26"/>
        </w:rPr>
        <w:t xml:space="preserve"> quyết định xây dựng một cảng </w:t>
      </w:r>
      <w:r w:rsidRPr="00BB64CB">
        <w:rPr>
          <w:rStyle w:val="Emphasis"/>
          <w:rFonts w:ascii="Times New Roman" w:hAnsi="Times New Roman" w:cs="Times New Roman"/>
          <w:i w:val="0"/>
          <w:iCs w:val="0"/>
          <w:sz w:val="26"/>
          <w:szCs w:val="26"/>
        </w:rPr>
        <w:lastRenderedPageBreak/>
        <w:t>nước sâu tạ</w:t>
      </w:r>
      <w:r>
        <w:rPr>
          <w:rStyle w:val="Emphasis"/>
          <w:rFonts w:ascii="Times New Roman" w:hAnsi="Times New Roman" w:cs="Times New Roman"/>
          <w:i w:val="0"/>
          <w:iCs w:val="0"/>
          <w:sz w:val="26"/>
          <w:szCs w:val="26"/>
        </w:rPr>
        <w:t xml:space="preserve">i Yangshan, một quần đảo nhỏ </w:t>
      </w:r>
      <w:r w:rsidRPr="00BB64CB">
        <w:rPr>
          <w:rStyle w:val="Emphasis"/>
          <w:rFonts w:ascii="Times New Roman" w:hAnsi="Times New Roman" w:cs="Times New Roman"/>
          <w:i w:val="0"/>
          <w:iCs w:val="0"/>
          <w:sz w:val="26"/>
          <w:szCs w:val="26"/>
        </w:rPr>
        <w:t xml:space="preserve">nằm ở cửa vịnh Hàng Châu. </w:t>
      </w:r>
      <w:r>
        <w:rPr>
          <w:rStyle w:val="Emphasis"/>
          <w:rFonts w:ascii="Times New Roman" w:hAnsi="Times New Roman" w:cs="Times New Roman"/>
          <w:i w:val="0"/>
          <w:iCs w:val="0"/>
          <w:sz w:val="26"/>
          <w:szCs w:val="26"/>
        </w:rPr>
        <w:t>Khoảng cách từ các đảo tới đất liền vào khoảng hơn 32</w:t>
      </w:r>
      <w:proofErr w:type="gramStart"/>
      <w:r>
        <w:rPr>
          <w:rStyle w:val="Emphasis"/>
          <w:rFonts w:ascii="Times New Roman" w:hAnsi="Times New Roman" w:cs="Times New Roman"/>
          <w:i w:val="0"/>
          <w:iCs w:val="0"/>
          <w:sz w:val="26"/>
          <w:szCs w:val="26"/>
        </w:rPr>
        <w:t>,5</w:t>
      </w:r>
      <w:proofErr w:type="gramEnd"/>
      <w:r>
        <w:rPr>
          <w:rStyle w:val="Emphasis"/>
          <w:rFonts w:ascii="Times New Roman" w:hAnsi="Times New Roman" w:cs="Times New Roman"/>
          <w:i w:val="0"/>
          <w:iCs w:val="0"/>
          <w:sz w:val="26"/>
          <w:szCs w:val="26"/>
        </w:rPr>
        <w:t xml:space="preserve"> km (</w:t>
      </w:r>
      <w:r w:rsidRPr="00BB64CB">
        <w:rPr>
          <w:rStyle w:val="Emphasis"/>
          <w:rFonts w:ascii="Times New Roman" w:hAnsi="Times New Roman" w:cs="Times New Roman"/>
          <w:i w:val="0"/>
          <w:iCs w:val="0"/>
          <w:sz w:val="26"/>
          <w:szCs w:val="26"/>
        </w:rPr>
        <w:t>20 dặm</w:t>
      </w:r>
      <w:r>
        <w:rPr>
          <w:rStyle w:val="Emphasis"/>
          <w:rFonts w:ascii="Times New Roman" w:hAnsi="Times New Roman" w:cs="Times New Roman"/>
          <w:i w:val="0"/>
          <w:iCs w:val="0"/>
          <w:sz w:val="26"/>
          <w:szCs w:val="26"/>
        </w:rPr>
        <w:t>)</w:t>
      </w:r>
      <w:r w:rsidRPr="00BB64CB">
        <w:rPr>
          <w:rStyle w:val="Emphasis"/>
          <w:rFonts w:ascii="Times New Roman" w:hAnsi="Times New Roman" w:cs="Times New Roman"/>
          <w:i w:val="0"/>
          <w:iCs w:val="0"/>
          <w:sz w:val="26"/>
          <w:szCs w:val="26"/>
        </w:rPr>
        <w:t xml:space="preserve">, các cổng cần thiết phải dựa vào việc xây dựng các cầu Donghai, </w:t>
      </w:r>
      <w:r>
        <w:rPr>
          <w:rStyle w:val="Emphasis"/>
          <w:rFonts w:ascii="Times New Roman" w:hAnsi="Times New Roman" w:cs="Times New Roman"/>
          <w:i w:val="0"/>
          <w:iCs w:val="0"/>
          <w:sz w:val="26"/>
          <w:szCs w:val="26"/>
        </w:rPr>
        <w:t>k</w:t>
      </w:r>
      <w:r w:rsidRPr="00BB64CB">
        <w:rPr>
          <w:rStyle w:val="Emphasis"/>
          <w:rFonts w:ascii="Times New Roman" w:hAnsi="Times New Roman" w:cs="Times New Roman"/>
          <w:i w:val="0"/>
          <w:iCs w:val="0"/>
          <w:sz w:val="26"/>
          <w:szCs w:val="26"/>
        </w:rPr>
        <w:t xml:space="preserve">hai trương vào ngày 01 tháng 12 năm 2005 </w:t>
      </w:r>
      <w:r>
        <w:rPr>
          <w:rStyle w:val="Emphasis"/>
          <w:rFonts w:ascii="Times New Roman" w:hAnsi="Times New Roman" w:cs="Times New Roman"/>
          <w:i w:val="0"/>
          <w:iCs w:val="0"/>
          <w:sz w:val="26"/>
          <w:szCs w:val="26"/>
        </w:rPr>
        <w:t xml:space="preserve">và là </w:t>
      </w:r>
      <w:r w:rsidRPr="00BB64CB">
        <w:rPr>
          <w:rStyle w:val="Emphasis"/>
          <w:rFonts w:ascii="Times New Roman" w:hAnsi="Times New Roman" w:cs="Times New Roman"/>
          <w:i w:val="0"/>
          <w:iCs w:val="0"/>
          <w:sz w:val="26"/>
          <w:szCs w:val="26"/>
        </w:rPr>
        <w:t>cầu</w:t>
      </w:r>
      <w:r>
        <w:rPr>
          <w:rStyle w:val="Emphasis"/>
          <w:rFonts w:ascii="Times New Roman" w:hAnsi="Times New Roman" w:cs="Times New Roman"/>
          <w:i w:val="0"/>
          <w:iCs w:val="0"/>
          <w:sz w:val="26"/>
          <w:szCs w:val="26"/>
        </w:rPr>
        <w:t xml:space="preserve"> trên</w:t>
      </w:r>
      <w:r w:rsidRPr="00BB64CB">
        <w:rPr>
          <w:rStyle w:val="Emphasis"/>
          <w:rFonts w:ascii="Times New Roman" w:hAnsi="Times New Roman" w:cs="Times New Roman"/>
          <w:i w:val="0"/>
          <w:iCs w:val="0"/>
          <w:sz w:val="26"/>
          <w:szCs w:val="26"/>
        </w:rPr>
        <w:t xml:space="preserve"> biển dài nhất thế giới tại thời điểm đó (hiện tại cây cầu biển dài nhất thế giới là mới khai trương </w:t>
      </w:r>
      <w:r>
        <w:rPr>
          <w:rStyle w:val="Emphasis"/>
          <w:rFonts w:ascii="Times New Roman" w:hAnsi="Times New Roman" w:cs="Times New Roman"/>
          <w:i w:val="0"/>
          <w:iCs w:val="0"/>
          <w:sz w:val="26"/>
          <w:szCs w:val="26"/>
        </w:rPr>
        <w:t xml:space="preserve"> là cầu nối </w:t>
      </w:r>
      <w:r w:rsidRPr="00BB64CB">
        <w:rPr>
          <w:rStyle w:val="Emphasis"/>
          <w:rFonts w:ascii="Times New Roman" w:hAnsi="Times New Roman" w:cs="Times New Roman"/>
          <w:i w:val="0"/>
          <w:iCs w:val="0"/>
          <w:sz w:val="26"/>
          <w:szCs w:val="26"/>
        </w:rPr>
        <w:t>Hồng Kông - Chu Hả</w:t>
      </w:r>
      <w:r>
        <w:rPr>
          <w:rStyle w:val="Emphasis"/>
          <w:rFonts w:ascii="Times New Roman" w:hAnsi="Times New Roman" w:cs="Times New Roman"/>
          <w:i w:val="0"/>
          <w:iCs w:val="0"/>
          <w:sz w:val="26"/>
          <w:szCs w:val="26"/>
        </w:rPr>
        <w:t xml:space="preserve">i - Ma Cao, dài </w:t>
      </w:r>
      <w:r w:rsidRPr="00BB64CB">
        <w:rPr>
          <w:rStyle w:val="Emphasis"/>
          <w:rFonts w:ascii="Times New Roman" w:hAnsi="Times New Roman" w:cs="Times New Roman"/>
          <w:i w:val="0"/>
          <w:iCs w:val="0"/>
          <w:sz w:val="26"/>
          <w:szCs w:val="26"/>
        </w:rPr>
        <w:t>55 km / 34 dặ</w:t>
      </w:r>
      <w:r>
        <w:rPr>
          <w:rStyle w:val="Emphasis"/>
          <w:rFonts w:ascii="Times New Roman" w:hAnsi="Times New Roman" w:cs="Times New Roman"/>
          <w:i w:val="0"/>
          <w:iCs w:val="0"/>
          <w:sz w:val="26"/>
          <w:szCs w:val="26"/>
        </w:rPr>
        <w:t>m dài).</w:t>
      </w:r>
    </w:p>
    <w:p w:rsidR="00C23683" w:rsidRPr="00C23683" w:rsidRDefault="00BB64CB" w:rsidP="00BB64CB">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BB64CB">
        <w:rPr>
          <w:rStyle w:val="Emphasis"/>
          <w:rFonts w:ascii="Times New Roman" w:hAnsi="Times New Roman" w:cs="Times New Roman"/>
          <w:i w:val="0"/>
          <w:iCs w:val="0"/>
          <w:sz w:val="26"/>
          <w:szCs w:val="26"/>
        </w:rPr>
        <w:t>Giai đoạn 1 của cả</w:t>
      </w:r>
      <w:r>
        <w:rPr>
          <w:rStyle w:val="Emphasis"/>
          <w:rFonts w:ascii="Times New Roman" w:hAnsi="Times New Roman" w:cs="Times New Roman"/>
          <w:i w:val="0"/>
          <w:iCs w:val="0"/>
          <w:sz w:val="26"/>
          <w:szCs w:val="26"/>
        </w:rPr>
        <w:t>ng Yangshan</w:t>
      </w:r>
      <w:r w:rsidRPr="00BB64CB">
        <w:rPr>
          <w:rStyle w:val="Emphasis"/>
          <w:rFonts w:ascii="Times New Roman" w:hAnsi="Times New Roman" w:cs="Times New Roman"/>
          <w:i w:val="0"/>
          <w:iCs w:val="0"/>
          <w:sz w:val="26"/>
          <w:szCs w:val="26"/>
        </w:rPr>
        <w:t xml:space="preserve"> được hoàn thành vào năm 2005 với công suất 2,2 triệu TEU mỗi năm. Giai đoạn thứ 4 đã hoàn thành vào tháng 12 năm 2017 và cảng hiện có công suất 6,3 triệu TEU mỗi năm, khiến tổng số cảng Thượng Hải đạt 40 triệu TEU mỗi năm. </w:t>
      </w:r>
      <w:r w:rsidR="00C23683" w:rsidRPr="00C23683">
        <w:rPr>
          <w:rStyle w:val="Emphasis"/>
          <w:rFonts w:ascii="Times New Roman" w:hAnsi="Times New Roman" w:cs="Times New Roman"/>
          <w:i w:val="0"/>
          <w:iCs w:val="0"/>
          <w:sz w:val="26"/>
          <w:szCs w:val="26"/>
        </w:rPr>
        <w:t xml:space="preserve">Theo kế hoạch, cảng </w:t>
      </w:r>
      <w:r w:rsidRPr="00BB64CB">
        <w:rPr>
          <w:rStyle w:val="Emphasis"/>
          <w:rFonts w:ascii="Times New Roman" w:hAnsi="Times New Roman" w:cs="Times New Roman"/>
          <w:i w:val="0"/>
          <w:iCs w:val="0"/>
          <w:sz w:val="26"/>
          <w:szCs w:val="26"/>
        </w:rPr>
        <w:t>Yangshan</w:t>
      </w:r>
      <w:r>
        <w:rPr>
          <w:rStyle w:val="Emphasis"/>
          <w:rFonts w:ascii="Times New Roman" w:hAnsi="Times New Roman" w:cs="Times New Roman"/>
          <w:i w:val="0"/>
          <w:iCs w:val="0"/>
          <w:sz w:val="26"/>
          <w:szCs w:val="26"/>
        </w:rPr>
        <w:t xml:space="preserve"> của Trung Quốc </w:t>
      </w:r>
      <w:r w:rsidR="00C23683" w:rsidRPr="00C23683">
        <w:rPr>
          <w:rStyle w:val="Emphasis"/>
          <w:rFonts w:ascii="Times New Roman" w:hAnsi="Times New Roman" w:cs="Times New Roman"/>
          <w:i w:val="0"/>
          <w:iCs w:val="0"/>
          <w:sz w:val="26"/>
          <w:szCs w:val="26"/>
        </w:rPr>
        <w:t xml:space="preserve">sẽ được hoàn thành vào năm 2020 với 30 bến và công suất 20 triệu TEU mỗi năm. </w:t>
      </w:r>
      <w:proofErr w:type="gramStart"/>
      <w:r w:rsidR="00C23683" w:rsidRPr="00C23683">
        <w:rPr>
          <w:rStyle w:val="Emphasis"/>
          <w:rFonts w:ascii="Times New Roman" w:hAnsi="Times New Roman" w:cs="Times New Roman"/>
          <w:i w:val="0"/>
          <w:iCs w:val="0"/>
          <w:sz w:val="26"/>
          <w:szCs w:val="26"/>
        </w:rPr>
        <w:t xml:space="preserve">Dự kiến khi hoàn thành, tổng vốn đầu tư vào cảng sẽ đạt 12 </w:t>
      </w:r>
      <w:r w:rsidR="00C23683" w:rsidRPr="00C23683">
        <w:rPr>
          <w:rStyle w:val="Emphasis"/>
          <w:rFonts w:ascii="Times New Roman" w:hAnsi="Times New Roman" w:cs="Times New Roman"/>
          <w:i w:val="0"/>
          <w:iCs w:val="0"/>
          <w:sz w:val="26"/>
          <w:szCs w:val="26"/>
        </w:rPr>
        <w:t>tỷ</w:t>
      </w:r>
      <w:r w:rsidR="00C23683" w:rsidRPr="00C23683">
        <w:rPr>
          <w:rStyle w:val="Emphasis"/>
          <w:rFonts w:ascii="Times New Roman" w:hAnsi="Times New Roman" w:cs="Times New Roman"/>
          <w:i w:val="0"/>
          <w:iCs w:val="0"/>
          <w:sz w:val="26"/>
          <w:szCs w:val="26"/>
        </w:rPr>
        <w:t xml:space="preserve"> đô la Mỹ. Cảng </w:t>
      </w:r>
      <w:r w:rsidRPr="00BB64CB">
        <w:rPr>
          <w:rStyle w:val="Emphasis"/>
          <w:rFonts w:ascii="Times New Roman" w:hAnsi="Times New Roman" w:cs="Times New Roman"/>
          <w:i w:val="0"/>
          <w:iCs w:val="0"/>
          <w:sz w:val="26"/>
          <w:szCs w:val="26"/>
        </w:rPr>
        <w:t>Yangshan</w:t>
      </w:r>
      <w:r w:rsidRPr="00C23683">
        <w:rPr>
          <w:rStyle w:val="Emphasis"/>
          <w:rFonts w:ascii="Times New Roman" w:hAnsi="Times New Roman" w:cs="Times New Roman"/>
          <w:i w:val="0"/>
          <w:iCs w:val="0"/>
          <w:sz w:val="26"/>
          <w:szCs w:val="26"/>
        </w:rPr>
        <w:t xml:space="preserve"> </w:t>
      </w:r>
      <w:r w:rsidR="00C23683" w:rsidRPr="00C23683">
        <w:rPr>
          <w:rStyle w:val="Emphasis"/>
          <w:rFonts w:ascii="Times New Roman" w:hAnsi="Times New Roman" w:cs="Times New Roman"/>
          <w:i w:val="0"/>
          <w:iCs w:val="0"/>
          <w:sz w:val="26"/>
          <w:szCs w:val="26"/>
        </w:rPr>
        <w:t>hoàn toàn tự động</w:t>
      </w:r>
      <w:r>
        <w:rPr>
          <w:rStyle w:val="Emphasis"/>
          <w:rFonts w:ascii="Times New Roman" w:hAnsi="Times New Roman" w:cs="Times New Roman"/>
          <w:i w:val="0"/>
          <w:iCs w:val="0"/>
          <w:sz w:val="26"/>
          <w:szCs w:val="26"/>
        </w:rPr>
        <w:t xml:space="preserve"> hóa</w:t>
      </w:r>
      <w:r w:rsidR="00C23683" w:rsidRPr="00C23683">
        <w:rPr>
          <w:rStyle w:val="Emphasis"/>
          <w:rFonts w:ascii="Times New Roman" w:hAnsi="Times New Roman" w:cs="Times New Roman"/>
          <w:i w:val="0"/>
          <w:iCs w:val="0"/>
          <w:sz w:val="26"/>
          <w:szCs w:val="26"/>
        </w:rPr>
        <w:t>.</w:t>
      </w:r>
      <w:proofErr w:type="gramEnd"/>
    </w:p>
    <w:p w:rsidR="00C23683" w:rsidRPr="00C23683" w:rsidRDefault="00C23683" w:rsidP="00C23683">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C23683">
        <w:rPr>
          <w:rStyle w:val="Emphasis"/>
          <w:rFonts w:ascii="Times New Roman" w:hAnsi="Times New Roman" w:cs="Times New Roman"/>
          <w:i w:val="0"/>
          <w:iCs w:val="0"/>
          <w:sz w:val="26"/>
          <w:szCs w:val="26"/>
        </w:rPr>
        <w:t>Tất cả các lô hàng gia dụng đến Thượng Hải (không bao gồm các lô hàng ngoại giao) phải được đưa đến hải quan Thượng Hải, nơi tất cả các mặt hàng đều được kiểm tra bằng tia X. Khoảng cách từ</w:t>
      </w:r>
      <w:r w:rsidR="00BB64CB">
        <w:rPr>
          <w:rStyle w:val="Emphasis"/>
          <w:rFonts w:ascii="Times New Roman" w:hAnsi="Times New Roman" w:cs="Times New Roman"/>
          <w:i w:val="0"/>
          <w:iCs w:val="0"/>
          <w:sz w:val="26"/>
          <w:szCs w:val="26"/>
        </w:rPr>
        <w:t xml:space="preserve"> </w:t>
      </w:r>
      <w:r w:rsidRPr="00C23683">
        <w:rPr>
          <w:rStyle w:val="Emphasis"/>
          <w:rFonts w:ascii="Times New Roman" w:hAnsi="Times New Roman" w:cs="Times New Roman"/>
          <w:i w:val="0"/>
          <w:iCs w:val="0"/>
          <w:sz w:val="26"/>
          <w:szCs w:val="26"/>
        </w:rPr>
        <w:t>Cả</w:t>
      </w:r>
      <w:r w:rsidR="00BB64CB">
        <w:rPr>
          <w:rStyle w:val="Emphasis"/>
          <w:rFonts w:ascii="Times New Roman" w:hAnsi="Times New Roman" w:cs="Times New Roman"/>
          <w:i w:val="0"/>
          <w:iCs w:val="0"/>
          <w:sz w:val="26"/>
          <w:szCs w:val="26"/>
        </w:rPr>
        <w:t xml:space="preserve">ng Waigaoqiao- một cảng chính tại Thượng Hải </w:t>
      </w:r>
      <w:r w:rsidRPr="00C23683">
        <w:rPr>
          <w:rStyle w:val="Emphasis"/>
          <w:rFonts w:ascii="Times New Roman" w:hAnsi="Times New Roman" w:cs="Times New Roman"/>
          <w:i w:val="0"/>
          <w:iCs w:val="0"/>
          <w:sz w:val="26"/>
          <w:szCs w:val="26"/>
        </w:rPr>
        <w:t xml:space="preserve">đến </w:t>
      </w:r>
      <w:r w:rsidR="00BB64CB">
        <w:rPr>
          <w:rStyle w:val="Emphasis"/>
          <w:rFonts w:ascii="Times New Roman" w:hAnsi="Times New Roman" w:cs="Times New Roman"/>
          <w:i w:val="0"/>
          <w:iCs w:val="0"/>
          <w:sz w:val="26"/>
          <w:szCs w:val="26"/>
        </w:rPr>
        <w:t>cơ quan hải quan</w:t>
      </w:r>
      <w:r w:rsidRPr="00C23683">
        <w:rPr>
          <w:rStyle w:val="Emphasis"/>
          <w:rFonts w:ascii="Times New Roman" w:hAnsi="Times New Roman" w:cs="Times New Roman"/>
          <w:i w:val="0"/>
          <w:iCs w:val="0"/>
          <w:sz w:val="26"/>
          <w:szCs w:val="26"/>
        </w:rPr>
        <w:t xml:space="preserve"> Thượng Hải là xấp xỉ</w:t>
      </w:r>
      <w:r w:rsidR="00BB64CB">
        <w:rPr>
          <w:rStyle w:val="Emphasis"/>
          <w:rFonts w:ascii="Times New Roman" w:hAnsi="Times New Roman" w:cs="Times New Roman"/>
          <w:i w:val="0"/>
          <w:iCs w:val="0"/>
          <w:sz w:val="26"/>
          <w:szCs w:val="26"/>
        </w:rPr>
        <w:t xml:space="preserve"> 18 km</w:t>
      </w:r>
      <w:r w:rsidRPr="00C23683">
        <w:rPr>
          <w:rStyle w:val="Emphasis"/>
          <w:rFonts w:ascii="Times New Roman" w:hAnsi="Times New Roman" w:cs="Times New Roman"/>
          <w:i w:val="0"/>
          <w:iCs w:val="0"/>
          <w:sz w:val="26"/>
          <w:szCs w:val="26"/>
        </w:rPr>
        <w:t xml:space="preserve"> trong khi khoảng cách từ cảng Yangshan đến </w:t>
      </w:r>
      <w:r w:rsidR="00BB64CB">
        <w:rPr>
          <w:rStyle w:val="Emphasis"/>
          <w:rFonts w:ascii="Times New Roman" w:hAnsi="Times New Roman" w:cs="Times New Roman"/>
          <w:i w:val="0"/>
          <w:iCs w:val="0"/>
          <w:sz w:val="26"/>
          <w:szCs w:val="26"/>
        </w:rPr>
        <w:t>đó</w:t>
      </w:r>
      <w:r w:rsidRPr="00C23683">
        <w:rPr>
          <w:rStyle w:val="Emphasis"/>
          <w:rFonts w:ascii="Times New Roman" w:hAnsi="Times New Roman" w:cs="Times New Roman"/>
          <w:i w:val="0"/>
          <w:iCs w:val="0"/>
          <w:sz w:val="26"/>
          <w:szCs w:val="26"/>
        </w:rPr>
        <w:t xml:space="preserve"> là khoảng 120 </w:t>
      </w:r>
      <w:r w:rsidR="00BB64CB">
        <w:rPr>
          <w:rStyle w:val="Emphasis"/>
          <w:rFonts w:ascii="Times New Roman" w:hAnsi="Times New Roman" w:cs="Times New Roman"/>
          <w:i w:val="0"/>
          <w:iCs w:val="0"/>
          <w:sz w:val="26"/>
          <w:szCs w:val="26"/>
        </w:rPr>
        <w:t>km</w:t>
      </w:r>
      <w:r w:rsidRPr="00C23683">
        <w:rPr>
          <w:rStyle w:val="Emphasis"/>
          <w:rFonts w:ascii="Times New Roman" w:hAnsi="Times New Roman" w:cs="Times New Roman"/>
          <w:i w:val="0"/>
          <w:iCs w:val="0"/>
          <w:sz w:val="26"/>
          <w:szCs w:val="26"/>
        </w:rPr>
        <w:t xml:space="preserve"> và có thể mất 3-4 giờ. Vì lý do này, các container đến cảng </w:t>
      </w:r>
      <w:r w:rsidR="00BB64CB" w:rsidRPr="00BB64CB">
        <w:rPr>
          <w:rStyle w:val="Emphasis"/>
          <w:rFonts w:ascii="Times New Roman" w:hAnsi="Times New Roman" w:cs="Times New Roman"/>
          <w:i w:val="0"/>
          <w:iCs w:val="0"/>
          <w:sz w:val="26"/>
          <w:szCs w:val="26"/>
        </w:rPr>
        <w:t>Yangshan</w:t>
      </w:r>
      <w:r w:rsidR="00BB64CB" w:rsidRPr="00C23683">
        <w:rPr>
          <w:rStyle w:val="Emphasis"/>
          <w:rFonts w:ascii="Times New Roman" w:hAnsi="Times New Roman" w:cs="Times New Roman"/>
          <w:i w:val="0"/>
          <w:iCs w:val="0"/>
          <w:sz w:val="26"/>
          <w:szCs w:val="26"/>
        </w:rPr>
        <w:t xml:space="preserve"> </w:t>
      </w:r>
      <w:r w:rsidRPr="00C23683">
        <w:rPr>
          <w:rStyle w:val="Emphasis"/>
          <w:rFonts w:ascii="Times New Roman" w:hAnsi="Times New Roman" w:cs="Times New Roman"/>
          <w:i w:val="0"/>
          <w:iCs w:val="0"/>
          <w:sz w:val="26"/>
          <w:szCs w:val="26"/>
        </w:rPr>
        <w:t xml:space="preserve">thường sẽ phải chịu phí vận chuyển </w:t>
      </w:r>
      <w:r w:rsidR="00BB64CB">
        <w:rPr>
          <w:rStyle w:val="Emphasis"/>
          <w:rFonts w:ascii="Times New Roman" w:hAnsi="Times New Roman" w:cs="Times New Roman"/>
          <w:i w:val="0"/>
          <w:iCs w:val="0"/>
          <w:sz w:val="26"/>
          <w:szCs w:val="26"/>
        </w:rPr>
        <w:t>cao hơn</w:t>
      </w:r>
      <w:r w:rsidRPr="00C23683">
        <w:rPr>
          <w:rStyle w:val="Emphasis"/>
          <w:rFonts w:ascii="Times New Roman" w:hAnsi="Times New Roman" w:cs="Times New Roman"/>
          <w:i w:val="0"/>
          <w:iCs w:val="0"/>
          <w:sz w:val="26"/>
          <w:szCs w:val="26"/>
        </w:rPr>
        <w:t xml:space="preserve"> so với các container đến cảng Waigaoquiao.</w:t>
      </w:r>
    </w:p>
    <w:p w:rsidR="00BD622A" w:rsidRPr="0036466C" w:rsidRDefault="00AF56B2" w:rsidP="0036466C">
      <w:pPr>
        <w:pStyle w:val="ListParagraph"/>
        <w:numPr>
          <w:ilvl w:val="1"/>
          <w:numId w:val="1"/>
        </w:numPr>
        <w:spacing w:line="312" w:lineRule="auto"/>
        <w:outlineLvl w:val="1"/>
        <w:rPr>
          <w:rFonts w:ascii="Times New Roman" w:hAnsi="Times New Roman" w:cs="Times New Roman"/>
          <w:b/>
          <w:iCs/>
          <w:sz w:val="26"/>
          <w:szCs w:val="26"/>
        </w:rPr>
      </w:pPr>
      <w:bookmarkStart w:id="22" w:name="_Toc535681062"/>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22"/>
      <w:r w:rsidR="00CE5DF4" w:rsidRPr="00AF56B2">
        <w:rPr>
          <w:rFonts w:ascii="Times New Roman" w:hAnsi="Times New Roman" w:cs="Times New Roman"/>
          <w:b/>
          <w:i/>
          <w:sz w:val="26"/>
          <w:szCs w:val="26"/>
        </w:rPr>
        <w:t xml:space="preserve"> </w:t>
      </w:r>
    </w:p>
    <w:p w:rsidR="00BD622A" w:rsidRPr="003B7520" w:rsidRDefault="00BD622A" w:rsidP="00BD622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Các thành phố ven biển của Trung Quốc đang </w:t>
      </w:r>
      <w:r w:rsidR="006579EB">
        <w:rPr>
          <w:rStyle w:val="Emphasis"/>
          <w:rFonts w:ascii="Times New Roman" w:hAnsi="Times New Roman" w:cs="Times New Roman"/>
          <w:i w:val="0"/>
          <w:iCs w:val="0"/>
          <w:sz w:val="26"/>
          <w:szCs w:val="26"/>
        </w:rPr>
        <w:t>chứng kiến sự tăng trưởng mạnh của</w:t>
      </w:r>
      <w:r w:rsidRPr="003B7520">
        <w:rPr>
          <w:rStyle w:val="Emphasis"/>
          <w:rFonts w:ascii="Times New Roman" w:hAnsi="Times New Roman" w:cs="Times New Roman"/>
          <w:i w:val="0"/>
          <w:iCs w:val="0"/>
          <w:sz w:val="26"/>
          <w:szCs w:val="26"/>
        </w:rPr>
        <w:t xml:space="preserve"> vận chuyển và sản xuất, nhưng</w:t>
      </w:r>
      <w:r w:rsidR="006579EB">
        <w:rPr>
          <w:rStyle w:val="Emphasis"/>
          <w:rFonts w:ascii="Times New Roman" w:hAnsi="Times New Roman" w:cs="Times New Roman"/>
          <w:i w:val="0"/>
          <w:iCs w:val="0"/>
          <w:sz w:val="26"/>
          <w:szCs w:val="26"/>
        </w:rPr>
        <w:t xml:space="preserve"> cũng phải đối mặt với</w:t>
      </w:r>
      <w:r w:rsidRPr="003B7520">
        <w:rPr>
          <w:rStyle w:val="Emphasis"/>
          <w:rFonts w:ascii="Times New Roman" w:hAnsi="Times New Roman" w:cs="Times New Roman"/>
          <w:i w:val="0"/>
          <w:iCs w:val="0"/>
          <w:sz w:val="26"/>
          <w:szCs w:val="26"/>
        </w:rPr>
        <w:t xml:space="preserve"> một vấn đề</w:t>
      </w:r>
      <w:r w:rsidR="006579EB">
        <w:rPr>
          <w:rStyle w:val="Emphasis"/>
          <w:rFonts w:ascii="Times New Roman" w:hAnsi="Times New Roman" w:cs="Times New Roman"/>
          <w:i w:val="0"/>
          <w:iCs w:val="0"/>
          <w:sz w:val="26"/>
          <w:szCs w:val="26"/>
        </w:rPr>
        <w:t xml:space="preserve"> lớn là là </w:t>
      </w:r>
      <w:r w:rsidRPr="003B7520">
        <w:rPr>
          <w:rStyle w:val="Emphasis"/>
          <w:rFonts w:ascii="Times New Roman" w:hAnsi="Times New Roman" w:cs="Times New Roman"/>
          <w:i w:val="0"/>
          <w:iCs w:val="0"/>
          <w:sz w:val="26"/>
          <w:szCs w:val="26"/>
        </w:rPr>
        <w:t>không gian</w:t>
      </w:r>
      <w:r w:rsidR="006579EB">
        <w:rPr>
          <w:rStyle w:val="Emphasis"/>
          <w:rFonts w:ascii="Times New Roman" w:hAnsi="Times New Roman" w:cs="Times New Roman"/>
          <w:i w:val="0"/>
          <w:iCs w:val="0"/>
          <w:sz w:val="26"/>
          <w:szCs w:val="26"/>
        </w:rPr>
        <w:t xml:space="preserve"> cho logistics đã hết. Điều này đã</w:t>
      </w:r>
      <w:r w:rsidRPr="003B7520">
        <w:rPr>
          <w:rStyle w:val="Emphasis"/>
          <w:rFonts w:ascii="Times New Roman" w:hAnsi="Times New Roman" w:cs="Times New Roman"/>
          <w:i w:val="0"/>
          <w:iCs w:val="0"/>
          <w:sz w:val="26"/>
          <w:szCs w:val="26"/>
        </w:rPr>
        <w:t xml:space="preserve"> đẩy một số trung tâm sản xuất và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đến các thành phố vệ tinh gần </w:t>
      </w:r>
      <w:proofErr w:type="gramStart"/>
      <w:r w:rsidRPr="003B7520">
        <w:rPr>
          <w:rStyle w:val="Emphasis"/>
          <w:rFonts w:ascii="Times New Roman" w:hAnsi="Times New Roman" w:cs="Times New Roman"/>
          <w:i w:val="0"/>
          <w:iCs w:val="0"/>
          <w:sz w:val="26"/>
          <w:szCs w:val="26"/>
        </w:rPr>
        <w:t xml:space="preserve">đó </w:t>
      </w:r>
      <w:r w:rsidR="00EE7C86">
        <w:rPr>
          <w:rStyle w:val="Emphasis"/>
          <w:rFonts w:ascii="Times New Roman" w:hAnsi="Times New Roman" w:cs="Times New Roman"/>
          <w:i w:val="0"/>
          <w:iCs w:val="0"/>
          <w:sz w:val="26"/>
          <w:szCs w:val="26"/>
        </w:rPr>
        <w:t xml:space="preserve"> nơi</w:t>
      </w:r>
      <w:proofErr w:type="gramEnd"/>
      <w:r w:rsidR="00EE7C86">
        <w:rPr>
          <w:rStyle w:val="Emphasis"/>
          <w:rFonts w:ascii="Times New Roman" w:hAnsi="Times New Roman" w:cs="Times New Roman"/>
          <w:i w:val="0"/>
          <w:iCs w:val="0"/>
          <w:sz w:val="26"/>
          <w:szCs w:val="26"/>
        </w:rPr>
        <w:t xml:space="preserve"> còn nhiều quỹ đất cho sự phát triển.</w:t>
      </w:r>
    </w:p>
    <w:p w:rsidR="00BD622A" w:rsidRPr="003B7520" w:rsidRDefault="00BD622A" w:rsidP="00BD622A">
      <w:pPr>
        <w:shd w:val="clear" w:color="auto" w:fill="FFFFFF"/>
        <w:spacing w:after="177" w:line="312" w:lineRule="auto"/>
        <w:ind w:firstLine="720"/>
        <w:jc w:val="both"/>
        <w:rPr>
          <w:rStyle w:val="Emphasis"/>
          <w:rFonts w:ascii="Times New Roman" w:hAnsi="Times New Roman" w:cs="Times New Roman"/>
          <w:i w:val="0"/>
          <w:iCs w:val="0"/>
          <w:sz w:val="26"/>
          <w:szCs w:val="26"/>
        </w:rPr>
      </w:pPr>
      <w:proofErr w:type="gramStart"/>
      <w:r w:rsidRPr="003B7520">
        <w:rPr>
          <w:rStyle w:val="Emphasis"/>
          <w:rFonts w:ascii="Times New Roman" w:hAnsi="Times New Roman" w:cs="Times New Roman"/>
          <w:i w:val="0"/>
          <w:iCs w:val="0"/>
          <w:sz w:val="26"/>
          <w:szCs w:val="26"/>
        </w:rPr>
        <w:t>Những thành phố này đóng vai trò là cầu nối đất liền giữa miền đông và miền tây Trung Quốc, và giữa miền tây Trung Quốc và châu Âu hoặc Nga.</w:t>
      </w:r>
      <w:proofErr w:type="gramEnd"/>
      <w:r w:rsidRPr="003B7520">
        <w:rPr>
          <w:rStyle w:val="Emphasis"/>
          <w:rFonts w:ascii="Times New Roman" w:hAnsi="Times New Roman" w:cs="Times New Roman"/>
          <w:i w:val="0"/>
          <w:iCs w:val="0"/>
          <w:sz w:val="26"/>
          <w:szCs w:val="26"/>
        </w:rPr>
        <w:t xml:space="preserve"> </w:t>
      </w:r>
      <w:proofErr w:type="gramStart"/>
      <w:r w:rsidRPr="003B7520">
        <w:rPr>
          <w:rStyle w:val="Emphasis"/>
          <w:rFonts w:ascii="Times New Roman" w:hAnsi="Times New Roman" w:cs="Times New Roman"/>
          <w:i w:val="0"/>
          <w:iCs w:val="0"/>
          <w:sz w:val="26"/>
          <w:szCs w:val="26"/>
        </w:rPr>
        <w:t>Nhưng chủ yếu, sự tăng trưởng của họ phục vụ dân số của chính họ, vì Trung Quốc tiêu thụ nhiều hàng hóa hơn trong nước.</w:t>
      </w:r>
      <w:proofErr w:type="gramEnd"/>
    </w:p>
    <w:p w:rsidR="00BD622A" w:rsidRPr="003B7520" w:rsidRDefault="00BD622A" w:rsidP="00BD622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lastRenderedPageBreak/>
        <w:t xml:space="preserve">Sự phát triển của kho hạng </w:t>
      </w:r>
      <w:proofErr w:type="gramStart"/>
      <w:r w:rsidRPr="003B7520">
        <w:rPr>
          <w:rStyle w:val="Emphasis"/>
          <w:rFonts w:ascii="Times New Roman" w:hAnsi="Times New Roman" w:cs="Times New Roman"/>
          <w:i w:val="0"/>
          <w:iCs w:val="0"/>
          <w:sz w:val="26"/>
          <w:szCs w:val="26"/>
        </w:rPr>
        <w:t>A</w:t>
      </w:r>
      <w:proofErr w:type="gramEnd"/>
      <w:r w:rsidRPr="003B7520">
        <w:rPr>
          <w:rStyle w:val="Emphasis"/>
          <w:rFonts w:ascii="Times New Roman" w:hAnsi="Times New Roman" w:cs="Times New Roman"/>
          <w:i w:val="0"/>
          <w:iCs w:val="0"/>
          <w:sz w:val="26"/>
          <w:szCs w:val="26"/>
        </w:rPr>
        <w:t xml:space="preserve"> và cơ sở hạ tầng giao thông hiện đại đang </w:t>
      </w:r>
      <w:r w:rsidR="00EE7C86">
        <w:rPr>
          <w:rStyle w:val="Emphasis"/>
          <w:rFonts w:ascii="Times New Roman" w:hAnsi="Times New Roman" w:cs="Times New Roman"/>
          <w:i w:val="0"/>
          <w:iCs w:val="0"/>
          <w:sz w:val="26"/>
          <w:szCs w:val="26"/>
        </w:rPr>
        <w:t xml:space="preserve">nâng </w:t>
      </w:r>
      <w:r w:rsidRPr="003B7520">
        <w:rPr>
          <w:rStyle w:val="Emphasis"/>
          <w:rFonts w:ascii="Times New Roman" w:hAnsi="Times New Roman" w:cs="Times New Roman"/>
          <w:i w:val="0"/>
          <w:iCs w:val="0"/>
          <w:sz w:val="26"/>
          <w:szCs w:val="26"/>
        </w:rPr>
        <w:t xml:space="preserve">vai trò của các thành phố trong hệ thống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tổng thể của Trung Quốc và định vị</w:t>
      </w:r>
      <w:r w:rsidR="00EE7C86">
        <w:rPr>
          <w:rStyle w:val="Emphasis"/>
          <w:rFonts w:ascii="Times New Roman" w:hAnsi="Times New Roman" w:cs="Times New Roman"/>
          <w:i w:val="0"/>
          <w:iCs w:val="0"/>
          <w:sz w:val="26"/>
          <w:szCs w:val="26"/>
        </w:rPr>
        <w:t xml:space="preserve"> sự </w:t>
      </w:r>
      <w:r w:rsidRPr="003B7520">
        <w:rPr>
          <w:rStyle w:val="Emphasis"/>
          <w:rFonts w:ascii="Times New Roman" w:hAnsi="Times New Roman" w:cs="Times New Roman"/>
          <w:i w:val="0"/>
          <w:iCs w:val="0"/>
          <w:sz w:val="26"/>
          <w:szCs w:val="26"/>
        </w:rPr>
        <w:t>phát triể</w:t>
      </w:r>
      <w:r w:rsidR="00EE7C86">
        <w:rPr>
          <w:rStyle w:val="Emphasis"/>
          <w:rFonts w:ascii="Times New Roman" w:hAnsi="Times New Roman" w:cs="Times New Roman"/>
          <w:i w:val="0"/>
          <w:iCs w:val="0"/>
          <w:sz w:val="26"/>
          <w:szCs w:val="26"/>
        </w:rPr>
        <w:t xml:space="preserve">n của </w:t>
      </w:r>
      <w:r w:rsidRPr="003B7520">
        <w:rPr>
          <w:rStyle w:val="Emphasis"/>
          <w:rFonts w:ascii="Times New Roman" w:hAnsi="Times New Roman" w:cs="Times New Roman"/>
          <w:i w:val="0"/>
          <w:iCs w:val="0"/>
          <w:sz w:val="26"/>
          <w:szCs w:val="26"/>
        </w:rPr>
        <w:t>các trung tâm phân phố</w:t>
      </w:r>
      <w:r w:rsidR="00EE7C86">
        <w:rPr>
          <w:rStyle w:val="Emphasis"/>
          <w:rFonts w:ascii="Times New Roman" w:hAnsi="Times New Roman" w:cs="Times New Roman"/>
          <w:i w:val="0"/>
          <w:iCs w:val="0"/>
          <w:sz w:val="26"/>
          <w:szCs w:val="26"/>
        </w:rPr>
        <w:t>i chính.</w:t>
      </w:r>
    </w:p>
    <w:p w:rsidR="00D3276A" w:rsidRPr="003B7520" w:rsidRDefault="00D3276A" w:rsidP="00BD622A">
      <w:pPr>
        <w:shd w:val="clear" w:color="auto" w:fill="FFFFFF"/>
        <w:spacing w:after="177" w:line="312" w:lineRule="auto"/>
        <w:ind w:firstLine="720"/>
        <w:jc w:val="both"/>
        <w:rPr>
          <w:rStyle w:val="Emphasis"/>
          <w:rFonts w:ascii="Times New Roman" w:hAnsi="Times New Roman" w:cs="Times New Roman"/>
          <w:b/>
          <w:i w:val="0"/>
          <w:iCs w:val="0"/>
          <w:sz w:val="26"/>
          <w:szCs w:val="26"/>
        </w:rPr>
      </w:pPr>
      <w:r w:rsidRPr="003B7520">
        <w:rPr>
          <w:rStyle w:val="Emphasis"/>
          <w:rFonts w:ascii="Times New Roman" w:hAnsi="Times New Roman" w:cs="Times New Roman"/>
          <w:b/>
          <w:i w:val="0"/>
          <w:iCs w:val="0"/>
          <w:sz w:val="26"/>
          <w:szCs w:val="26"/>
        </w:rPr>
        <w:t>3 trung tâm logistics nội địa mới nổi hàng đầu Trung Quốc</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b/>
          <w:iCs w:val="0"/>
          <w:sz w:val="26"/>
          <w:szCs w:val="26"/>
        </w:rPr>
      </w:pPr>
      <w:r w:rsidRPr="003B7520">
        <w:rPr>
          <w:rStyle w:val="Emphasis"/>
          <w:rFonts w:ascii="Times New Roman" w:hAnsi="Times New Roman" w:cs="Times New Roman"/>
          <w:b/>
          <w:iCs w:val="0"/>
          <w:sz w:val="26"/>
          <w:szCs w:val="26"/>
        </w:rPr>
        <w:t>Trịnh Châu</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proofErr w:type="gramStart"/>
      <w:r w:rsidRPr="003B7520">
        <w:rPr>
          <w:rStyle w:val="Emphasis"/>
          <w:rFonts w:ascii="Times New Roman" w:hAnsi="Times New Roman" w:cs="Times New Roman"/>
          <w:i w:val="0"/>
          <w:iCs w:val="0"/>
          <w:sz w:val="26"/>
          <w:szCs w:val="26"/>
        </w:rPr>
        <w:t>Thành phố thủ phủ của tỉnh Hà Nam có liên kết chặt chẽ với Foxconn, công ty đã sản xuất và xuất khẩu khoảng một nửa</w:t>
      </w:r>
      <w:r w:rsidR="00EE7C86">
        <w:rPr>
          <w:rStyle w:val="Emphasis"/>
          <w:rFonts w:ascii="Times New Roman" w:hAnsi="Times New Roman" w:cs="Times New Roman"/>
          <w:i w:val="0"/>
          <w:iCs w:val="0"/>
          <w:sz w:val="26"/>
          <w:szCs w:val="26"/>
        </w:rPr>
        <w:t xml:space="preserve"> số sản phẩm</w:t>
      </w:r>
      <w:r w:rsidRPr="003B7520">
        <w:rPr>
          <w:rStyle w:val="Emphasis"/>
          <w:rFonts w:ascii="Times New Roman" w:hAnsi="Times New Roman" w:cs="Times New Roman"/>
          <w:i w:val="0"/>
          <w:iCs w:val="0"/>
          <w:sz w:val="26"/>
          <w:szCs w:val="26"/>
        </w:rPr>
        <w:t xml:space="preserve"> iPhone Apple trên thế giới kể từ năm 2010.</w:t>
      </w:r>
      <w:proofErr w:type="gramEnd"/>
      <w:r w:rsidRPr="003B7520">
        <w:rPr>
          <w:rStyle w:val="Emphasis"/>
          <w:rFonts w:ascii="Times New Roman" w:hAnsi="Times New Roman" w:cs="Times New Roman"/>
          <w:i w:val="0"/>
          <w:iCs w:val="0"/>
          <w:sz w:val="26"/>
          <w:szCs w:val="26"/>
        </w:rPr>
        <w:t xml:space="preserve"> Đây là khu kinh tế đầu tiên của Trung Quốc được xây dựng quanh một sân bay và được cho là một trong những sân bay phát triển nhanh nhất của Trung Quốc. Tỉnh Hà Nam dự kiến sẽ tăng số lượng các tuyến vận tải hàng không quốc tế lên 40 vào năm 2020, tăng từ 29 trong năm 2016.</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Trong năm 2017, bốn chuyến tàu chở hàng đã bắt đầu dịch vụ hàng tuần giữa Trịnh Châu và Hamburg, Đức, mặc dù các chuyến tàu đã chạy giữa các thành phố </w:t>
      </w:r>
      <w:r w:rsidR="00C23683">
        <w:rPr>
          <w:rStyle w:val="Emphasis"/>
          <w:rFonts w:ascii="Times New Roman" w:hAnsi="Times New Roman" w:cs="Times New Roman"/>
          <w:i w:val="0"/>
          <w:iCs w:val="0"/>
          <w:sz w:val="26"/>
          <w:szCs w:val="26"/>
        </w:rPr>
        <w:t>với mật độ thấp hơn</w:t>
      </w:r>
      <w:r w:rsidRPr="003B7520">
        <w:rPr>
          <w:rStyle w:val="Emphasis"/>
          <w:rFonts w:ascii="Times New Roman" w:hAnsi="Times New Roman" w:cs="Times New Roman"/>
          <w:i w:val="0"/>
          <w:iCs w:val="0"/>
          <w:sz w:val="26"/>
          <w:szCs w:val="26"/>
        </w:rPr>
        <w:t xml:space="preserve"> hơn kể từ năm 2013. Tuyến đường sắt Trịnh Châu đến châu Âu chiếm khoảng 30% tổng khối lượng đường sắt cho tất cả các tuyến đường sắt Trung Quốc đến châu Âu, với hàng hóa bao gồm điện tử, robot công nghiệp và phụ tùng ô tô.</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b/>
          <w:iCs w:val="0"/>
          <w:sz w:val="26"/>
          <w:szCs w:val="26"/>
        </w:rPr>
      </w:pPr>
      <w:r w:rsidRPr="003B7520">
        <w:rPr>
          <w:rStyle w:val="Emphasis"/>
          <w:rFonts w:ascii="Times New Roman" w:hAnsi="Times New Roman" w:cs="Times New Roman"/>
          <w:b/>
          <w:iCs w:val="0"/>
          <w:sz w:val="26"/>
          <w:szCs w:val="26"/>
        </w:rPr>
        <w:t>Thành Đô</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Thành phố lớn ở phía tây nam tỉnh Tứ Xuyên của Trung Quố</w:t>
      </w:r>
      <w:r w:rsidR="00EE7C86">
        <w:rPr>
          <w:rStyle w:val="Emphasis"/>
          <w:rFonts w:ascii="Times New Roman" w:hAnsi="Times New Roman" w:cs="Times New Roman"/>
          <w:i w:val="0"/>
          <w:iCs w:val="0"/>
          <w:sz w:val="26"/>
          <w:szCs w:val="26"/>
        </w:rPr>
        <w:t>c</w:t>
      </w:r>
      <w:r w:rsidRPr="003B7520">
        <w:rPr>
          <w:rStyle w:val="Emphasis"/>
          <w:rFonts w:ascii="Times New Roman" w:hAnsi="Times New Roman" w:cs="Times New Roman"/>
          <w:i w:val="0"/>
          <w:iCs w:val="0"/>
          <w:sz w:val="26"/>
          <w:szCs w:val="26"/>
        </w:rPr>
        <w:t xml:space="preserve"> cũng đang tăng cường dịch vụ đường sắt và hàng không, đồng thời cố gắng </w:t>
      </w:r>
      <w:proofErr w:type="gramStart"/>
      <w:r w:rsidRPr="003B7520">
        <w:rPr>
          <w:rStyle w:val="Emphasis"/>
          <w:rFonts w:ascii="Times New Roman" w:hAnsi="Times New Roman" w:cs="Times New Roman"/>
          <w:i w:val="0"/>
          <w:iCs w:val="0"/>
          <w:sz w:val="26"/>
          <w:szCs w:val="26"/>
        </w:rPr>
        <w:t>thu</w:t>
      </w:r>
      <w:proofErr w:type="gramEnd"/>
      <w:r w:rsidRPr="003B7520">
        <w:rPr>
          <w:rStyle w:val="Emphasis"/>
          <w:rFonts w:ascii="Times New Roman" w:hAnsi="Times New Roman" w:cs="Times New Roman"/>
          <w:i w:val="0"/>
          <w:iCs w:val="0"/>
          <w:sz w:val="26"/>
          <w:szCs w:val="26"/>
        </w:rPr>
        <w:t xml:space="preserve"> hút các công ty công nghệ tăng trưởng cao. Vào tháng 5</w:t>
      </w:r>
      <w:r w:rsidR="00EE7C86">
        <w:rPr>
          <w:rStyle w:val="Emphasis"/>
          <w:rFonts w:ascii="Times New Roman" w:hAnsi="Times New Roman" w:cs="Times New Roman"/>
          <w:i w:val="0"/>
          <w:iCs w:val="0"/>
          <w:sz w:val="26"/>
          <w:szCs w:val="26"/>
        </w:rPr>
        <w:t>/2018</w:t>
      </w:r>
      <w:r w:rsidRPr="003B7520">
        <w:rPr>
          <w:rStyle w:val="Emphasis"/>
          <w:rFonts w:ascii="Times New Roman" w:hAnsi="Times New Roman" w:cs="Times New Roman"/>
          <w:i w:val="0"/>
          <w:iCs w:val="0"/>
          <w:sz w:val="26"/>
          <w:szCs w:val="26"/>
        </w:rPr>
        <w:t>, DHL Global Forwarding, cùng với Tập đoàn Rail Cargo, tuyên bố mở rộng kết nối đường sắt từ Vienna đến Trung Quốc đến Thành Đô. DHL sẽ cung cấp dịch vụ giao hàng tận nơi để xuất khẩu giá trị cao</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proofErr w:type="gramStart"/>
      <w:r w:rsidRPr="003B7520">
        <w:rPr>
          <w:rStyle w:val="Emphasis"/>
          <w:rFonts w:ascii="Times New Roman" w:hAnsi="Times New Roman" w:cs="Times New Roman"/>
          <w:i w:val="0"/>
          <w:iCs w:val="0"/>
          <w:sz w:val="26"/>
          <w:szCs w:val="26"/>
        </w:rPr>
        <w:t>Lufthansa Cargo cũng bắt đầu một hoạt động vận tải hàng hóa mới vào tháng 5</w:t>
      </w:r>
      <w:r w:rsidR="00EE7C86">
        <w:rPr>
          <w:rStyle w:val="Emphasis"/>
          <w:rFonts w:ascii="Times New Roman" w:hAnsi="Times New Roman" w:cs="Times New Roman"/>
          <w:i w:val="0"/>
          <w:iCs w:val="0"/>
          <w:sz w:val="26"/>
          <w:szCs w:val="26"/>
        </w:rPr>
        <w:t>/2018</w:t>
      </w:r>
      <w:r w:rsidRPr="003B7520">
        <w:rPr>
          <w:rStyle w:val="Emphasis"/>
          <w:rFonts w:ascii="Times New Roman" w:hAnsi="Times New Roman" w:cs="Times New Roman"/>
          <w:i w:val="0"/>
          <w:iCs w:val="0"/>
          <w:sz w:val="26"/>
          <w:szCs w:val="26"/>
        </w:rPr>
        <w:t>, với hai chuyến bay chở hàng khứ hồi hàng tuần giữa Thành Đô và Frankfurt.</w:t>
      </w:r>
      <w:proofErr w:type="gramEnd"/>
      <w:r w:rsidRPr="003B7520">
        <w:rPr>
          <w:rStyle w:val="Emphasis"/>
          <w:rFonts w:ascii="Times New Roman" w:hAnsi="Times New Roman" w:cs="Times New Roman"/>
          <w:i w:val="0"/>
          <w:iCs w:val="0"/>
          <w:sz w:val="26"/>
          <w:szCs w:val="26"/>
        </w:rPr>
        <w:t xml:space="preserve"> </w:t>
      </w:r>
      <w:proofErr w:type="gramStart"/>
      <w:r w:rsidRPr="003B7520">
        <w:rPr>
          <w:rStyle w:val="Emphasis"/>
          <w:rFonts w:ascii="Times New Roman" w:hAnsi="Times New Roman" w:cs="Times New Roman"/>
          <w:i w:val="0"/>
          <w:iCs w:val="0"/>
          <w:sz w:val="26"/>
          <w:szCs w:val="26"/>
        </w:rPr>
        <w:t>Mục tiêu của DHL là phục vụ phía tây Trung Quốc, và đây là bước đột phá đầu tiên của họ vào một thành phố nội địa Trung Quố</w:t>
      </w:r>
      <w:r w:rsidR="00EE7C86">
        <w:rPr>
          <w:rStyle w:val="Emphasis"/>
          <w:rFonts w:ascii="Times New Roman" w:hAnsi="Times New Roman" w:cs="Times New Roman"/>
          <w:i w:val="0"/>
          <w:iCs w:val="0"/>
          <w:sz w:val="26"/>
          <w:szCs w:val="26"/>
        </w:rPr>
        <w:t>c</w:t>
      </w:r>
      <w:r w:rsidRPr="003B7520">
        <w:rPr>
          <w:rStyle w:val="Emphasis"/>
          <w:rFonts w:ascii="Times New Roman" w:hAnsi="Times New Roman" w:cs="Times New Roman"/>
          <w:i w:val="0"/>
          <w:iCs w:val="0"/>
          <w:sz w:val="26"/>
          <w:szCs w:val="26"/>
        </w:rPr>
        <w:t>.</w:t>
      </w:r>
      <w:proofErr w:type="gramEnd"/>
      <w:r w:rsidRPr="003B7520">
        <w:rPr>
          <w:rStyle w:val="Emphasis"/>
          <w:rFonts w:ascii="Times New Roman" w:hAnsi="Times New Roman" w:cs="Times New Roman"/>
          <w:i w:val="0"/>
          <w:iCs w:val="0"/>
          <w:sz w:val="26"/>
          <w:szCs w:val="26"/>
        </w:rPr>
        <w:t xml:space="preserve"> Những container đường sắt này là một phần của mạng lưới đa phương thức với kiểm soát và theo </w:t>
      </w:r>
      <w:r w:rsidRPr="003B7520">
        <w:rPr>
          <w:rStyle w:val="Emphasis"/>
          <w:rFonts w:ascii="Times New Roman" w:hAnsi="Times New Roman" w:cs="Times New Roman"/>
          <w:i w:val="0"/>
          <w:iCs w:val="0"/>
          <w:sz w:val="26"/>
          <w:szCs w:val="26"/>
        </w:rPr>
        <w:lastRenderedPageBreak/>
        <w:t>dõi nhiệt độ được giám sát từ xa, và quản lý và thông quan hải quan được quản lý đầy đủ.</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b/>
          <w:iCs w:val="0"/>
          <w:sz w:val="26"/>
          <w:szCs w:val="26"/>
        </w:rPr>
      </w:pPr>
      <w:r w:rsidRPr="003B7520">
        <w:rPr>
          <w:rStyle w:val="Emphasis"/>
          <w:rFonts w:ascii="Times New Roman" w:hAnsi="Times New Roman" w:cs="Times New Roman"/>
          <w:b/>
          <w:iCs w:val="0"/>
          <w:sz w:val="26"/>
          <w:szCs w:val="26"/>
        </w:rPr>
        <w:t xml:space="preserve">Tây </w:t>
      </w:r>
      <w:proofErr w:type="gramStart"/>
      <w:r w:rsidRPr="003B7520">
        <w:rPr>
          <w:rStyle w:val="Emphasis"/>
          <w:rFonts w:ascii="Times New Roman" w:hAnsi="Times New Roman" w:cs="Times New Roman"/>
          <w:b/>
          <w:iCs w:val="0"/>
          <w:sz w:val="26"/>
          <w:szCs w:val="26"/>
        </w:rPr>
        <w:t>An</w:t>
      </w:r>
      <w:proofErr w:type="gramEnd"/>
      <w:r w:rsidRPr="003B7520">
        <w:rPr>
          <w:rStyle w:val="Emphasis"/>
          <w:rFonts w:ascii="Times New Roman" w:hAnsi="Times New Roman" w:cs="Times New Roman"/>
          <w:b/>
          <w:iCs w:val="0"/>
          <w:sz w:val="26"/>
          <w:szCs w:val="26"/>
        </w:rPr>
        <w:t xml:space="preserve"> (Xi'an)</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Tây </w:t>
      </w:r>
      <w:proofErr w:type="gramStart"/>
      <w:r w:rsidRPr="003B7520">
        <w:rPr>
          <w:rStyle w:val="Emphasis"/>
          <w:rFonts w:ascii="Times New Roman" w:hAnsi="Times New Roman" w:cs="Times New Roman"/>
          <w:i w:val="0"/>
          <w:iCs w:val="0"/>
          <w:sz w:val="26"/>
          <w:szCs w:val="26"/>
        </w:rPr>
        <w:t>An</w:t>
      </w:r>
      <w:proofErr w:type="gramEnd"/>
      <w:r w:rsidRPr="003B7520">
        <w:rPr>
          <w:rStyle w:val="Emphasis"/>
          <w:rFonts w:ascii="Times New Roman" w:hAnsi="Times New Roman" w:cs="Times New Roman"/>
          <w:i w:val="0"/>
          <w:iCs w:val="0"/>
          <w:sz w:val="26"/>
          <w:szCs w:val="26"/>
        </w:rPr>
        <w:t xml:space="preserve"> ở giữa miền trung Trung Quốc, đã mở một công viên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vào năm 2008, với một cả</w:t>
      </w:r>
      <w:r w:rsidR="00EE7C86">
        <w:rPr>
          <w:rStyle w:val="Emphasis"/>
          <w:rFonts w:ascii="Times New Roman" w:hAnsi="Times New Roman" w:cs="Times New Roman"/>
          <w:i w:val="0"/>
          <w:iCs w:val="0"/>
          <w:sz w:val="26"/>
          <w:szCs w:val="26"/>
        </w:rPr>
        <w:t>ng khô trong khu</w:t>
      </w:r>
      <w:r w:rsidRPr="003B7520">
        <w:rPr>
          <w:rStyle w:val="Emphasis"/>
          <w:rFonts w:ascii="Times New Roman" w:hAnsi="Times New Roman" w:cs="Times New Roman"/>
          <w:i w:val="0"/>
          <w:iCs w:val="0"/>
          <w:sz w:val="26"/>
          <w:szCs w:val="26"/>
        </w:rPr>
        <w:t xml:space="preserve"> vực thương mại tự do và một tuyến đường sắt đến Tây Âu. </w:t>
      </w:r>
      <w:proofErr w:type="gramStart"/>
      <w:r w:rsidRPr="003B7520">
        <w:rPr>
          <w:rStyle w:val="Emphasis"/>
          <w:rFonts w:ascii="Times New Roman" w:hAnsi="Times New Roman" w:cs="Times New Roman"/>
          <w:i w:val="0"/>
          <w:iCs w:val="0"/>
          <w:sz w:val="26"/>
          <w:szCs w:val="26"/>
        </w:rPr>
        <w:t xml:space="preserve">Đây đã từng là một trong những thành phố trung tâm quốc gia hấp dẫn nhất ở Trung Quốc đối với các ngành công nghiệp sản xuất và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truyền thống</w:t>
      </w:r>
      <w:r w:rsidR="00EE7C86">
        <w:rPr>
          <w:rStyle w:val="Emphasis"/>
          <w:rFonts w:ascii="Times New Roman" w:hAnsi="Times New Roman" w:cs="Times New Roman"/>
          <w:i w:val="0"/>
          <w:iCs w:val="0"/>
          <w:sz w:val="26"/>
          <w:szCs w:val="26"/>
        </w:rPr>
        <w:t>.</w:t>
      </w:r>
      <w:proofErr w:type="gramEnd"/>
      <w:r w:rsidR="00EE7C86">
        <w:rPr>
          <w:rStyle w:val="Emphasis"/>
          <w:rFonts w:ascii="Times New Roman" w:hAnsi="Times New Roman" w:cs="Times New Roman"/>
          <w:i w:val="0"/>
          <w:iCs w:val="0"/>
          <w:sz w:val="26"/>
          <w:szCs w:val="26"/>
        </w:rPr>
        <w:t xml:space="preserve"> </w:t>
      </w:r>
      <w:r w:rsidRPr="003B7520">
        <w:rPr>
          <w:rStyle w:val="Emphasis"/>
          <w:rFonts w:ascii="Times New Roman" w:hAnsi="Times New Roman" w:cs="Times New Roman"/>
          <w:i w:val="0"/>
          <w:iCs w:val="0"/>
          <w:sz w:val="26"/>
          <w:szCs w:val="26"/>
        </w:rPr>
        <w:t xml:space="preserve">Để trở thành trung tâm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w:t>
      </w:r>
      <w:r w:rsidR="00EE7C86">
        <w:rPr>
          <w:rStyle w:val="Emphasis"/>
          <w:rFonts w:ascii="Times New Roman" w:hAnsi="Times New Roman" w:cs="Times New Roman"/>
          <w:i w:val="0"/>
          <w:iCs w:val="0"/>
          <w:sz w:val="26"/>
          <w:szCs w:val="26"/>
        </w:rPr>
        <w:t>lớn hiện đại, Tây An cần những bước tiến dài</w:t>
      </w:r>
      <w:r w:rsidRPr="003B7520">
        <w:rPr>
          <w:rStyle w:val="Emphasis"/>
          <w:rFonts w:ascii="Times New Roman" w:hAnsi="Times New Roman" w:cs="Times New Roman"/>
          <w:i w:val="0"/>
          <w:iCs w:val="0"/>
          <w:sz w:val="26"/>
          <w:szCs w:val="26"/>
        </w:rPr>
        <w:t>, bởi vì cơ sở công nghiệp chưa đủ trưởng thành, có nghĩa là các ngành công nghiệp công nghệ cao chưa thành lập ở Xi'an với quy mô lớ</w:t>
      </w:r>
      <w:r w:rsidR="00EE7C86">
        <w:rPr>
          <w:rStyle w:val="Emphasis"/>
          <w:rFonts w:ascii="Times New Roman" w:hAnsi="Times New Roman" w:cs="Times New Roman"/>
          <w:i w:val="0"/>
          <w:iCs w:val="0"/>
          <w:sz w:val="26"/>
          <w:szCs w:val="26"/>
        </w:rPr>
        <w:t>n hơn.</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Tuy nhiên, đây là một vị trí cực kỳ hấp dẫn đối với các trung tâm R &amp; D, với số lượng ngày càng tăng của các nhà sản xuất, công ty thương mại điện tử và nhà cung cấp dịch vụ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của họ dự định đầu tư vào đó, tạo ra nhiều nhu cầu hơn cho kho hạng A.</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Trong năm năm qua, </w:t>
      </w:r>
      <w:r w:rsidR="00EE7C86">
        <w:rPr>
          <w:rStyle w:val="Emphasis"/>
          <w:rFonts w:ascii="Times New Roman" w:hAnsi="Times New Roman" w:cs="Times New Roman"/>
          <w:i w:val="0"/>
          <w:iCs w:val="0"/>
          <w:sz w:val="26"/>
          <w:szCs w:val="26"/>
        </w:rPr>
        <w:t>công ty logistics GLP ghi nhận</w:t>
      </w:r>
      <w:r w:rsidRPr="003B7520">
        <w:rPr>
          <w:rStyle w:val="Emphasis"/>
          <w:rFonts w:ascii="Times New Roman" w:hAnsi="Times New Roman" w:cs="Times New Roman"/>
          <w:i w:val="0"/>
          <w:iCs w:val="0"/>
          <w:sz w:val="26"/>
          <w:szCs w:val="26"/>
        </w:rPr>
        <w:t xml:space="preserve"> nhu cầu không gian kho hàng tăng gấp đôi lên 2</w:t>
      </w:r>
      <w:proofErr w:type="gramStart"/>
      <w:r w:rsidRPr="003B7520">
        <w:rPr>
          <w:rStyle w:val="Emphasis"/>
          <w:rFonts w:ascii="Times New Roman" w:hAnsi="Times New Roman" w:cs="Times New Roman"/>
          <w:i w:val="0"/>
          <w:iCs w:val="0"/>
          <w:sz w:val="26"/>
          <w:szCs w:val="26"/>
        </w:rPr>
        <w:t>,6</w:t>
      </w:r>
      <w:proofErr w:type="gramEnd"/>
      <w:r w:rsidRPr="003B7520">
        <w:rPr>
          <w:rStyle w:val="Emphasis"/>
          <w:rFonts w:ascii="Times New Roman" w:hAnsi="Times New Roman" w:cs="Times New Roman"/>
          <w:i w:val="0"/>
          <w:iCs w:val="0"/>
          <w:sz w:val="26"/>
          <w:szCs w:val="26"/>
        </w:rPr>
        <w:t xml:space="preserve"> triệu mét vuông do sắp xếp lại kho. </w:t>
      </w:r>
      <w:proofErr w:type="gramStart"/>
      <w:r w:rsidRPr="003B7520">
        <w:rPr>
          <w:rStyle w:val="Emphasis"/>
          <w:rFonts w:ascii="Times New Roman" w:hAnsi="Times New Roman" w:cs="Times New Roman"/>
          <w:i w:val="0"/>
          <w:iCs w:val="0"/>
          <w:sz w:val="26"/>
          <w:szCs w:val="26"/>
        </w:rPr>
        <w:t xml:space="preserve">Công ty hiện có năm công viên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và đang lên kế hoạch phát triển thêm hai khu vực lớn hơn ở khu vực Tây An.</w:t>
      </w:r>
      <w:proofErr w:type="gramEnd"/>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b/>
          <w:iCs w:val="0"/>
          <w:sz w:val="26"/>
          <w:szCs w:val="26"/>
        </w:rPr>
      </w:pPr>
      <w:r w:rsidRPr="003B7520">
        <w:rPr>
          <w:rStyle w:val="Emphasis"/>
          <w:rFonts w:ascii="Times New Roman" w:hAnsi="Times New Roman" w:cs="Times New Roman"/>
          <w:b/>
          <w:iCs w:val="0"/>
          <w:sz w:val="26"/>
          <w:szCs w:val="26"/>
        </w:rPr>
        <w:t xml:space="preserve">Áp lực không gian ngày càng tăng đối với các trung tâm </w:t>
      </w:r>
      <w:r w:rsidR="002B6619">
        <w:rPr>
          <w:rStyle w:val="Emphasis"/>
          <w:rFonts w:ascii="Times New Roman" w:hAnsi="Times New Roman" w:cs="Times New Roman"/>
          <w:b/>
          <w:iCs w:val="0"/>
          <w:sz w:val="26"/>
          <w:szCs w:val="26"/>
        </w:rPr>
        <w:t>logistics</w:t>
      </w:r>
      <w:r w:rsidRPr="003B7520">
        <w:rPr>
          <w:rStyle w:val="Emphasis"/>
          <w:rFonts w:ascii="Times New Roman" w:hAnsi="Times New Roman" w:cs="Times New Roman"/>
          <w:b/>
          <w:iCs w:val="0"/>
          <w:sz w:val="26"/>
          <w:szCs w:val="26"/>
        </w:rPr>
        <w:t xml:space="preserve"> nội địa</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Theo báo cáo của PwC Hồng Kông, mặc dù chi phí bất động sản và lao động cao </w:t>
      </w:r>
      <w:r w:rsidR="00EE7C86">
        <w:rPr>
          <w:rStyle w:val="Emphasis"/>
          <w:rFonts w:ascii="Times New Roman" w:hAnsi="Times New Roman" w:cs="Times New Roman"/>
          <w:i w:val="0"/>
          <w:iCs w:val="0"/>
          <w:sz w:val="26"/>
          <w:szCs w:val="26"/>
        </w:rPr>
        <w:t>hơn ở các khu vực ven</w:t>
      </w:r>
      <w:r w:rsidRPr="003B7520">
        <w:rPr>
          <w:rStyle w:val="Emphasis"/>
          <w:rFonts w:ascii="Times New Roman" w:hAnsi="Times New Roman" w:cs="Times New Roman"/>
          <w:i w:val="0"/>
          <w:iCs w:val="0"/>
          <w:sz w:val="26"/>
          <w:szCs w:val="26"/>
        </w:rPr>
        <w:t xml:space="preserve"> biển khiến cho tăng trưởng nội địa trở nên hấp dẫn, các thành phố nội địa phải chịu sự thiếu hụt </w:t>
      </w:r>
      <w:r w:rsidR="00EE7C86">
        <w:rPr>
          <w:rStyle w:val="Emphasis"/>
          <w:rFonts w:ascii="Times New Roman" w:hAnsi="Times New Roman" w:cs="Times New Roman"/>
          <w:i w:val="0"/>
          <w:iCs w:val="0"/>
          <w:sz w:val="26"/>
          <w:szCs w:val="26"/>
        </w:rPr>
        <w:t>nhân sự</w:t>
      </w:r>
      <w:r w:rsidRPr="003B7520">
        <w:rPr>
          <w:rStyle w:val="Emphasis"/>
          <w:rFonts w:ascii="Times New Roman" w:hAnsi="Times New Roman" w:cs="Times New Roman"/>
          <w:i w:val="0"/>
          <w:iCs w:val="0"/>
          <w:sz w:val="26"/>
          <w:szCs w:val="26"/>
        </w:rPr>
        <w:t xml:space="preserve"> được đào tạo, cơ sở hạ tầng không nhất quán, các hạn chế về quy định trên các khu vực địa lý, hệ thống phân phối phân tán và công nghệ ở một số khu vực. .</w:t>
      </w:r>
    </w:p>
    <w:p w:rsidR="00D3276A" w:rsidRPr="003B7520" w:rsidRDefault="00024A7D"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Đóng góp lớn cho quá trình tăng trưởng của các trung tâm logistics lớn là</w:t>
      </w:r>
      <w:r w:rsidR="00D3276A" w:rsidRPr="003B7520">
        <w:rPr>
          <w:rStyle w:val="Emphasis"/>
          <w:rFonts w:ascii="Times New Roman" w:hAnsi="Times New Roman" w:cs="Times New Roman"/>
          <w:i w:val="0"/>
          <w:iCs w:val="0"/>
          <w:sz w:val="26"/>
          <w:szCs w:val="26"/>
        </w:rPr>
        <w:t xml:space="preserve"> xây dựng cơ sở hạ tầng giao thông. </w:t>
      </w:r>
      <w:proofErr w:type="gramStart"/>
      <w:r w:rsidR="00D3276A" w:rsidRPr="003B7520">
        <w:rPr>
          <w:rStyle w:val="Emphasis"/>
          <w:rFonts w:ascii="Times New Roman" w:hAnsi="Times New Roman" w:cs="Times New Roman"/>
          <w:i w:val="0"/>
          <w:iCs w:val="0"/>
          <w:sz w:val="26"/>
          <w:szCs w:val="26"/>
        </w:rPr>
        <w:t>Vận tải đường biể</w:t>
      </w:r>
      <w:r>
        <w:rPr>
          <w:rStyle w:val="Emphasis"/>
          <w:rFonts w:ascii="Times New Roman" w:hAnsi="Times New Roman" w:cs="Times New Roman"/>
          <w:i w:val="0"/>
          <w:iCs w:val="0"/>
          <w:sz w:val="26"/>
          <w:szCs w:val="26"/>
        </w:rPr>
        <w:t xml:space="preserve">n là phương thức vận chuyển hàng hóa có chi phí thấp nhất hiện nay </w:t>
      </w:r>
      <w:r w:rsidR="00D3276A" w:rsidRPr="003B7520">
        <w:rPr>
          <w:rStyle w:val="Emphasis"/>
          <w:rFonts w:ascii="Times New Roman" w:hAnsi="Times New Roman" w:cs="Times New Roman"/>
          <w:i w:val="0"/>
          <w:iCs w:val="0"/>
          <w:sz w:val="26"/>
          <w:szCs w:val="26"/>
        </w:rPr>
        <w:t>(và hầu hết việc sản xuất được thực hiện ở các khu vực ven biển Trung Quốc).</w:t>
      </w:r>
      <w:proofErr w:type="gramEnd"/>
      <w:r w:rsidR="00D3276A" w:rsidRPr="003B7520">
        <w:rPr>
          <w:rStyle w:val="Emphasis"/>
          <w:rFonts w:ascii="Times New Roman" w:hAnsi="Times New Roman" w:cs="Times New Roman"/>
          <w:i w:val="0"/>
          <w:iCs w:val="0"/>
          <w:sz w:val="26"/>
          <w:szCs w:val="26"/>
        </w:rPr>
        <w:t xml:space="preserve"> Giải pháp thay thế tầm trung là đường sắt</w:t>
      </w:r>
      <w:proofErr w:type="gramStart"/>
      <w:r w:rsidR="00D3276A" w:rsidRPr="003B7520">
        <w:rPr>
          <w:rStyle w:val="Emphasis"/>
          <w:rFonts w:ascii="Times New Roman" w:hAnsi="Times New Roman" w:cs="Times New Roman"/>
          <w:i w:val="0"/>
          <w:iCs w:val="0"/>
          <w:sz w:val="26"/>
          <w:szCs w:val="26"/>
        </w:rPr>
        <w:t xml:space="preserve">, </w:t>
      </w:r>
      <w:r>
        <w:rPr>
          <w:rStyle w:val="Emphasis"/>
          <w:rFonts w:ascii="Times New Roman" w:hAnsi="Times New Roman" w:cs="Times New Roman"/>
          <w:i w:val="0"/>
          <w:iCs w:val="0"/>
          <w:sz w:val="26"/>
          <w:szCs w:val="26"/>
        </w:rPr>
        <w:t xml:space="preserve"> nhưng</w:t>
      </w:r>
      <w:proofErr w:type="gramEnd"/>
      <w:r>
        <w:rPr>
          <w:rStyle w:val="Emphasis"/>
          <w:rFonts w:ascii="Times New Roman" w:hAnsi="Times New Roman" w:cs="Times New Roman"/>
          <w:i w:val="0"/>
          <w:iCs w:val="0"/>
          <w:sz w:val="26"/>
          <w:szCs w:val="26"/>
        </w:rPr>
        <w:t xml:space="preserve"> sức chứa</w:t>
      </w:r>
      <w:r w:rsidR="00D3276A" w:rsidRPr="003B7520">
        <w:rPr>
          <w:rStyle w:val="Emphasis"/>
          <w:rFonts w:ascii="Times New Roman" w:hAnsi="Times New Roman" w:cs="Times New Roman"/>
          <w:i w:val="0"/>
          <w:iCs w:val="0"/>
          <w:sz w:val="26"/>
          <w:szCs w:val="26"/>
        </w:rPr>
        <w:t xml:space="preserve"> hàng hóa</w:t>
      </w:r>
      <w:r>
        <w:rPr>
          <w:rStyle w:val="Emphasis"/>
          <w:rFonts w:ascii="Times New Roman" w:hAnsi="Times New Roman" w:cs="Times New Roman"/>
          <w:i w:val="0"/>
          <w:iCs w:val="0"/>
          <w:sz w:val="26"/>
          <w:szCs w:val="26"/>
        </w:rPr>
        <w:t xml:space="preserve"> hạn chế, tính linh hoạt kém</w:t>
      </w:r>
      <w:r w:rsidR="00D3276A" w:rsidRPr="003B7520">
        <w:rPr>
          <w:rStyle w:val="Emphasis"/>
          <w:rFonts w:ascii="Times New Roman" w:hAnsi="Times New Roman" w:cs="Times New Roman"/>
          <w:i w:val="0"/>
          <w:iCs w:val="0"/>
          <w:sz w:val="26"/>
          <w:szCs w:val="26"/>
        </w:rPr>
        <w:t xml:space="preserve"> và vận tải hàng không, với chi phí cao hơn nhưng giao hàng nhanh hơn.</w:t>
      </w:r>
    </w:p>
    <w:p w:rsidR="00D3276A" w:rsidRPr="00024A7D" w:rsidRDefault="00024A7D" w:rsidP="00024A7D">
      <w:pPr>
        <w:shd w:val="clear" w:color="auto" w:fill="FFFFFF"/>
        <w:spacing w:before="100" w:beforeAutospacing="1" w:after="100" w:afterAutospacing="1" w:line="240" w:lineRule="auto"/>
        <w:jc w:val="center"/>
        <w:outlineLvl w:val="5"/>
        <w:rPr>
          <w:rFonts w:ascii="Times New Roman" w:eastAsia="Times New Roman" w:hAnsi="Times New Roman" w:cs="Times New Roman"/>
          <w:b/>
          <w:bCs/>
          <w:color w:val="0A0A0A"/>
          <w:spacing w:val="8"/>
          <w:sz w:val="26"/>
          <w:szCs w:val="26"/>
        </w:rPr>
      </w:pPr>
      <w:bookmarkStart w:id="23" w:name="_Toc535681073"/>
      <w:r w:rsidRPr="00024A7D">
        <w:rPr>
          <w:rStyle w:val="Emphasis"/>
          <w:rFonts w:ascii="Times New Roman" w:hAnsi="Times New Roman" w:cs="Times New Roman"/>
          <w:b/>
          <w:i w:val="0"/>
          <w:sz w:val="26"/>
          <w:szCs w:val="26"/>
        </w:rPr>
        <w:lastRenderedPageBreak/>
        <w:t xml:space="preserve">Bảng </w:t>
      </w:r>
      <w:r w:rsidRPr="00024A7D">
        <w:rPr>
          <w:rStyle w:val="Emphasis"/>
          <w:rFonts w:ascii="Times New Roman" w:hAnsi="Times New Roman" w:cs="Times New Roman"/>
          <w:b/>
          <w:i w:val="0"/>
          <w:sz w:val="26"/>
          <w:szCs w:val="26"/>
        </w:rPr>
        <w:fldChar w:fldCharType="begin"/>
      </w:r>
      <w:r w:rsidRPr="00024A7D">
        <w:rPr>
          <w:rStyle w:val="Emphasis"/>
          <w:rFonts w:ascii="Times New Roman" w:hAnsi="Times New Roman" w:cs="Times New Roman"/>
          <w:b/>
          <w:i w:val="0"/>
          <w:sz w:val="26"/>
          <w:szCs w:val="26"/>
        </w:rPr>
        <w:instrText xml:space="preserve"> SEQ Bảng \* ARABIC </w:instrText>
      </w:r>
      <w:r w:rsidRPr="00024A7D">
        <w:rPr>
          <w:rStyle w:val="Emphasis"/>
          <w:rFonts w:ascii="Times New Roman" w:hAnsi="Times New Roman" w:cs="Times New Roman"/>
          <w:b/>
          <w:i w:val="0"/>
          <w:sz w:val="26"/>
          <w:szCs w:val="26"/>
        </w:rPr>
        <w:fldChar w:fldCharType="separate"/>
      </w:r>
      <w:r w:rsidR="006579EB">
        <w:rPr>
          <w:rStyle w:val="Emphasis"/>
          <w:rFonts w:ascii="Times New Roman" w:hAnsi="Times New Roman" w:cs="Times New Roman"/>
          <w:b/>
          <w:i w:val="0"/>
          <w:noProof/>
          <w:sz w:val="26"/>
          <w:szCs w:val="26"/>
        </w:rPr>
        <w:t>3</w:t>
      </w:r>
      <w:r w:rsidRPr="00024A7D">
        <w:rPr>
          <w:rStyle w:val="Emphasis"/>
          <w:rFonts w:ascii="Times New Roman" w:hAnsi="Times New Roman" w:cs="Times New Roman"/>
          <w:b/>
          <w:i w:val="0"/>
          <w:sz w:val="26"/>
          <w:szCs w:val="26"/>
        </w:rPr>
        <w:fldChar w:fldCharType="end"/>
      </w:r>
      <w:r w:rsidRPr="00024A7D">
        <w:rPr>
          <w:rStyle w:val="Emphasis"/>
          <w:rFonts w:ascii="Times New Roman" w:hAnsi="Times New Roman" w:cs="Times New Roman"/>
          <w:b/>
          <w:i w:val="0"/>
          <w:sz w:val="26"/>
          <w:szCs w:val="26"/>
        </w:rPr>
        <w:t>:</w:t>
      </w:r>
      <w:r w:rsidRPr="00C45DE0">
        <w:rPr>
          <w:rStyle w:val="Emphasis"/>
          <w:rFonts w:ascii="Times New Roman" w:hAnsi="Times New Roman" w:cs="Times New Roman"/>
          <w:sz w:val="26"/>
          <w:szCs w:val="26"/>
        </w:rPr>
        <w:t xml:space="preserve">  </w:t>
      </w:r>
      <w:r w:rsidR="00D3276A" w:rsidRPr="00024A7D">
        <w:rPr>
          <w:rFonts w:ascii="Times New Roman" w:eastAsia="Times New Roman" w:hAnsi="Times New Roman" w:cs="Times New Roman"/>
          <w:b/>
          <w:bCs/>
          <w:color w:val="0A0A0A"/>
          <w:spacing w:val="8"/>
          <w:sz w:val="26"/>
          <w:szCs w:val="26"/>
        </w:rPr>
        <w:t>Vận chuyển hà</w:t>
      </w:r>
      <w:r w:rsidR="00C23683">
        <w:rPr>
          <w:rFonts w:ascii="Times New Roman" w:eastAsia="Times New Roman" w:hAnsi="Times New Roman" w:cs="Times New Roman"/>
          <w:b/>
          <w:bCs/>
          <w:color w:val="0A0A0A"/>
          <w:spacing w:val="8"/>
          <w:sz w:val="26"/>
          <w:szCs w:val="26"/>
        </w:rPr>
        <w:t xml:space="preserve">ng hóa giữa Trung Quốc và châu </w:t>
      </w:r>
      <w:r w:rsidR="00D3276A" w:rsidRPr="00024A7D">
        <w:rPr>
          <w:rFonts w:ascii="Times New Roman" w:eastAsia="Times New Roman" w:hAnsi="Times New Roman" w:cs="Times New Roman"/>
          <w:b/>
          <w:bCs/>
          <w:color w:val="0A0A0A"/>
          <w:spacing w:val="8"/>
          <w:sz w:val="26"/>
          <w:szCs w:val="26"/>
        </w:rPr>
        <w:t>Âu</w:t>
      </w:r>
      <w:bookmarkEnd w:id="23"/>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34"/>
        <w:gridCol w:w="3459"/>
        <w:gridCol w:w="2747"/>
      </w:tblGrid>
      <w:tr w:rsidR="00D3276A" w:rsidRPr="003B7520" w:rsidTr="00024A7D">
        <w:trPr>
          <w:tblHeader/>
        </w:trPr>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b/>
                <w:bCs/>
                <w:color w:val="0A0A0A"/>
                <w:sz w:val="26"/>
                <w:szCs w:val="26"/>
              </w:rPr>
            </w:pPr>
            <w:r w:rsidRPr="003B7520">
              <w:rPr>
                <w:rFonts w:ascii="Times New Roman" w:eastAsia="Times New Roman" w:hAnsi="Times New Roman" w:cs="Times New Roman"/>
                <w:b/>
                <w:bCs/>
                <w:color w:val="0A0A0A"/>
                <w:sz w:val="26"/>
                <w:szCs w:val="26"/>
              </w:rPr>
              <w:t>Hình thức</w:t>
            </w:r>
          </w:p>
        </w:tc>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b/>
                <w:bCs/>
                <w:color w:val="0A0A0A"/>
                <w:sz w:val="26"/>
                <w:szCs w:val="26"/>
              </w:rPr>
            </w:pPr>
            <w:r w:rsidRPr="003B7520">
              <w:rPr>
                <w:rFonts w:ascii="Times New Roman" w:eastAsia="Times New Roman" w:hAnsi="Times New Roman" w:cs="Times New Roman"/>
                <w:b/>
                <w:bCs/>
                <w:color w:val="0A0A0A"/>
                <w:sz w:val="26"/>
                <w:szCs w:val="26"/>
              </w:rPr>
              <w:t>Tỷ trọng về khối lượng</w:t>
            </w:r>
          </w:p>
        </w:tc>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b/>
                <w:bCs/>
                <w:color w:val="0A0A0A"/>
                <w:sz w:val="26"/>
                <w:szCs w:val="26"/>
              </w:rPr>
            </w:pPr>
            <w:r w:rsidRPr="003B7520">
              <w:rPr>
                <w:rFonts w:ascii="Times New Roman" w:eastAsia="Times New Roman" w:hAnsi="Times New Roman" w:cs="Times New Roman"/>
                <w:b/>
                <w:bCs/>
                <w:color w:val="0A0A0A"/>
                <w:sz w:val="26"/>
                <w:szCs w:val="26"/>
              </w:rPr>
              <w:t>Tỷ trọng về giá trị</w:t>
            </w:r>
          </w:p>
        </w:tc>
      </w:tr>
      <w:tr w:rsidR="00D3276A" w:rsidRPr="003B7520" w:rsidTr="00024A7D">
        <w:tc>
          <w:tcPr>
            <w:tcW w:w="0" w:type="auto"/>
            <w:shd w:val="clear" w:color="auto" w:fill="F5F6F7"/>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3B7520">
              <w:rPr>
                <w:rFonts w:ascii="Times New Roman" w:eastAsia="Times New Roman" w:hAnsi="Times New Roman" w:cs="Times New Roman"/>
                <w:color w:val="0A0A0A"/>
                <w:sz w:val="26"/>
                <w:szCs w:val="26"/>
              </w:rPr>
              <w:t>Đường biển</w:t>
            </w:r>
          </w:p>
        </w:tc>
        <w:tc>
          <w:tcPr>
            <w:tcW w:w="0" w:type="auto"/>
            <w:shd w:val="clear" w:color="auto" w:fill="F5F6F7"/>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94%</w:t>
            </w:r>
          </w:p>
        </w:tc>
        <w:tc>
          <w:tcPr>
            <w:tcW w:w="0" w:type="auto"/>
            <w:shd w:val="clear" w:color="auto" w:fill="F5F6F7"/>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64%</w:t>
            </w:r>
          </w:p>
        </w:tc>
      </w:tr>
      <w:tr w:rsidR="00D3276A" w:rsidRPr="003B7520" w:rsidTr="00024A7D">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3B7520">
              <w:rPr>
                <w:rFonts w:ascii="Times New Roman" w:eastAsia="Times New Roman" w:hAnsi="Times New Roman" w:cs="Times New Roman"/>
                <w:color w:val="0A0A0A"/>
                <w:sz w:val="26"/>
                <w:szCs w:val="26"/>
              </w:rPr>
              <w:t>Đường hàng không</w:t>
            </w:r>
          </w:p>
        </w:tc>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1.8%</w:t>
            </w:r>
          </w:p>
        </w:tc>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28%</w:t>
            </w:r>
          </w:p>
        </w:tc>
      </w:tr>
      <w:tr w:rsidR="00D3276A" w:rsidRPr="003B7520" w:rsidTr="00024A7D">
        <w:tc>
          <w:tcPr>
            <w:tcW w:w="0" w:type="auto"/>
            <w:shd w:val="clear" w:color="auto" w:fill="F5F6F7"/>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3B7520">
              <w:rPr>
                <w:rFonts w:ascii="Times New Roman" w:eastAsia="Times New Roman" w:hAnsi="Times New Roman" w:cs="Times New Roman"/>
                <w:color w:val="0A0A0A"/>
                <w:sz w:val="26"/>
                <w:szCs w:val="26"/>
              </w:rPr>
              <w:t>Đường sắt</w:t>
            </w:r>
          </w:p>
        </w:tc>
        <w:tc>
          <w:tcPr>
            <w:tcW w:w="0" w:type="auto"/>
            <w:shd w:val="clear" w:color="auto" w:fill="F5F6F7"/>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0.9%</w:t>
            </w:r>
          </w:p>
        </w:tc>
        <w:tc>
          <w:tcPr>
            <w:tcW w:w="0" w:type="auto"/>
            <w:shd w:val="clear" w:color="auto" w:fill="F5F6F7"/>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2%</w:t>
            </w:r>
          </w:p>
        </w:tc>
      </w:tr>
      <w:tr w:rsidR="00D3276A" w:rsidRPr="003B7520" w:rsidTr="00024A7D">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3B7520">
              <w:rPr>
                <w:rFonts w:ascii="Times New Roman" w:eastAsia="Times New Roman" w:hAnsi="Times New Roman" w:cs="Times New Roman"/>
                <w:color w:val="0A0A0A"/>
                <w:sz w:val="26"/>
                <w:szCs w:val="26"/>
              </w:rPr>
              <w:t>Đường bộ</w:t>
            </w:r>
          </w:p>
        </w:tc>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3%</w:t>
            </w:r>
          </w:p>
        </w:tc>
        <w:tc>
          <w:tcPr>
            <w:tcW w:w="0" w:type="auto"/>
            <w:shd w:val="clear" w:color="auto" w:fill="FFFFFF"/>
            <w:vAlign w:val="center"/>
            <w:hideMark/>
          </w:tcPr>
          <w:p w:rsidR="00D3276A" w:rsidRPr="00D3276A" w:rsidRDefault="00D3276A" w:rsidP="00D3276A">
            <w:pPr>
              <w:spacing w:after="0" w:line="240" w:lineRule="auto"/>
              <w:rPr>
                <w:rFonts w:ascii="Times New Roman" w:eastAsia="Times New Roman" w:hAnsi="Times New Roman" w:cs="Times New Roman"/>
                <w:color w:val="0A0A0A"/>
                <w:sz w:val="26"/>
                <w:szCs w:val="26"/>
              </w:rPr>
            </w:pPr>
            <w:r w:rsidRPr="00D3276A">
              <w:rPr>
                <w:rFonts w:ascii="Times New Roman" w:eastAsia="Times New Roman" w:hAnsi="Times New Roman" w:cs="Times New Roman"/>
                <w:color w:val="0A0A0A"/>
                <w:sz w:val="26"/>
                <w:szCs w:val="26"/>
              </w:rPr>
              <w:t>6%</w:t>
            </w:r>
          </w:p>
        </w:tc>
      </w:tr>
    </w:tbl>
    <w:p w:rsidR="00D3276A" w:rsidRPr="00024A7D" w:rsidRDefault="00D3276A" w:rsidP="00024A7D">
      <w:pPr>
        <w:shd w:val="clear" w:color="auto" w:fill="FFFFFF"/>
        <w:spacing w:before="100" w:beforeAutospacing="1" w:after="100" w:afterAutospacing="1" w:line="240" w:lineRule="auto"/>
        <w:jc w:val="center"/>
        <w:rPr>
          <w:rFonts w:ascii="Times New Roman" w:eastAsia="Times New Roman" w:hAnsi="Times New Roman" w:cs="Times New Roman"/>
          <w:i/>
          <w:color w:val="000000" w:themeColor="text1"/>
          <w:spacing w:val="5"/>
          <w:sz w:val="26"/>
          <w:szCs w:val="26"/>
        </w:rPr>
      </w:pPr>
      <w:r w:rsidRPr="00024A7D">
        <w:rPr>
          <w:rFonts w:ascii="Times New Roman" w:eastAsia="Times New Roman" w:hAnsi="Times New Roman" w:cs="Times New Roman"/>
          <w:i/>
          <w:color w:val="000000" w:themeColor="text1"/>
          <w:spacing w:val="5"/>
          <w:sz w:val="26"/>
          <w:szCs w:val="26"/>
        </w:rPr>
        <w:t>Nguồn: Center Strategic &amp; International Studies</w:t>
      </w:r>
    </w:p>
    <w:p w:rsidR="00D3276A" w:rsidRPr="003B7520" w:rsidRDefault="00D3276A" w:rsidP="003B7520">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Hiện tại các khoản trợ cấp đường sắt của chính phủ đang giúp thúc đẩy sự tăng trưởng đó, </w:t>
      </w:r>
      <w:r w:rsidR="00C23683">
        <w:rPr>
          <w:rStyle w:val="Emphasis"/>
          <w:rFonts w:ascii="Times New Roman" w:hAnsi="Times New Roman" w:cs="Times New Roman"/>
          <w:i w:val="0"/>
          <w:iCs w:val="0"/>
          <w:sz w:val="26"/>
          <w:szCs w:val="26"/>
        </w:rPr>
        <w:t xml:space="preserve">nhưng ngành sẽ gặp khó khăn </w:t>
      </w:r>
      <w:r w:rsidRPr="003B7520">
        <w:rPr>
          <w:rStyle w:val="Emphasis"/>
          <w:rFonts w:ascii="Times New Roman" w:hAnsi="Times New Roman" w:cs="Times New Roman"/>
          <w:i w:val="0"/>
          <w:iCs w:val="0"/>
          <w:sz w:val="26"/>
          <w:szCs w:val="26"/>
        </w:rPr>
        <w:t>nếu chính phủ giảm hoặc cắ</w:t>
      </w:r>
      <w:r w:rsidR="00C23683">
        <w:rPr>
          <w:rStyle w:val="Emphasis"/>
          <w:rFonts w:ascii="Times New Roman" w:hAnsi="Times New Roman" w:cs="Times New Roman"/>
          <w:i w:val="0"/>
          <w:iCs w:val="0"/>
          <w:sz w:val="26"/>
          <w:szCs w:val="26"/>
        </w:rPr>
        <w:t xml:space="preserve">t </w:t>
      </w:r>
      <w:r w:rsidRPr="003B7520">
        <w:rPr>
          <w:rStyle w:val="Emphasis"/>
          <w:rFonts w:ascii="Times New Roman" w:hAnsi="Times New Roman" w:cs="Times New Roman"/>
          <w:i w:val="0"/>
          <w:iCs w:val="0"/>
          <w:sz w:val="26"/>
          <w:szCs w:val="26"/>
        </w:rPr>
        <w:t>hoàn toàn các khoản trợ cấp. So với dữ liệu vận tải đường biển và hàng không, việc truy cập vào các thông tin cơ bản của tuyến đường sắt như giá cước, khối lượng và thậm chí tần suất tuyến đường là khó khăn, khiến việc sử dụng đường sắt trở nên phức tạ</w:t>
      </w:r>
      <w:r w:rsidR="003B7520" w:rsidRPr="003B7520">
        <w:rPr>
          <w:rStyle w:val="Emphasis"/>
          <w:rFonts w:ascii="Times New Roman" w:hAnsi="Times New Roman" w:cs="Times New Roman"/>
          <w:i w:val="0"/>
          <w:iCs w:val="0"/>
          <w:sz w:val="26"/>
          <w:szCs w:val="26"/>
        </w:rPr>
        <w:t>p hơn.</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b/>
          <w:iCs w:val="0"/>
          <w:sz w:val="26"/>
          <w:szCs w:val="26"/>
        </w:rPr>
      </w:pPr>
      <w:r w:rsidRPr="003B7520">
        <w:rPr>
          <w:rStyle w:val="Emphasis"/>
          <w:rFonts w:ascii="Times New Roman" w:hAnsi="Times New Roman" w:cs="Times New Roman"/>
          <w:b/>
          <w:iCs w:val="0"/>
          <w:sz w:val="26"/>
          <w:szCs w:val="26"/>
        </w:rPr>
        <w:t>Thương mại điện tử đang chiếm không gian kho</w:t>
      </w:r>
    </w:p>
    <w:p w:rsidR="00D3276A" w:rsidRPr="003B7520" w:rsidRDefault="00D3276A" w:rsidP="00D3276A">
      <w:pPr>
        <w:shd w:val="clear" w:color="auto" w:fill="FFFFFF"/>
        <w:spacing w:after="177" w:line="312" w:lineRule="auto"/>
        <w:ind w:firstLine="720"/>
        <w:jc w:val="both"/>
        <w:rPr>
          <w:rStyle w:val="Emphasis"/>
          <w:rFonts w:ascii="Times New Roman" w:hAnsi="Times New Roman" w:cs="Times New Roman"/>
          <w:i w:val="0"/>
          <w:iCs w:val="0"/>
          <w:sz w:val="26"/>
          <w:szCs w:val="26"/>
        </w:rPr>
      </w:pPr>
      <w:proofErr w:type="gramStart"/>
      <w:r w:rsidRPr="003B7520">
        <w:rPr>
          <w:rStyle w:val="Emphasis"/>
          <w:rFonts w:ascii="Times New Roman" w:hAnsi="Times New Roman" w:cs="Times New Roman"/>
          <w:i w:val="0"/>
          <w:iCs w:val="0"/>
          <w:sz w:val="26"/>
          <w:szCs w:val="26"/>
        </w:rPr>
        <w:t>Trong khi giao thông đường bộ chiếm một khối lượng thương mại nhỏ hơn nhiều, các thành phố nội địa nằm ở trung tâm của mạng lưới đường cao tốc mạnh mẽ kết nối hàng chục thành phố vừa và nhỏ.</w:t>
      </w:r>
      <w:proofErr w:type="gramEnd"/>
      <w:r w:rsidRPr="003B7520">
        <w:rPr>
          <w:rStyle w:val="Emphasis"/>
          <w:rFonts w:ascii="Times New Roman" w:hAnsi="Times New Roman" w:cs="Times New Roman"/>
          <w:i w:val="0"/>
          <w:iCs w:val="0"/>
          <w:sz w:val="26"/>
          <w:szCs w:val="26"/>
        </w:rPr>
        <w:t xml:space="preserve"> Tất cả các thành phố này là đầu mối phát triển kinh tế ở miền trung và miền tây Trung Quố</w:t>
      </w:r>
      <w:r w:rsidR="00EE7C86">
        <w:rPr>
          <w:rStyle w:val="Emphasis"/>
          <w:rFonts w:ascii="Times New Roman" w:hAnsi="Times New Roman" w:cs="Times New Roman"/>
          <w:i w:val="0"/>
          <w:iCs w:val="0"/>
          <w:sz w:val="26"/>
          <w:szCs w:val="26"/>
        </w:rPr>
        <w:t>c và</w:t>
      </w:r>
      <w:r w:rsidRPr="003B7520">
        <w:rPr>
          <w:rStyle w:val="Emphasis"/>
          <w:rFonts w:ascii="Times New Roman" w:hAnsi="Times New Roman" w:cs="Times New Roman"/>
          <w:i w:val="0"/>
          <w:iCs w:val="0"/>
          <w:sz w:val="26"/>
          <w:szCs w:val="26"/>
        </w:rPr>
        <w:t xml:space="preserve"> đang thu hút các nhà phát triển và người thuê nhà đang tìm cách xây dựng mạng lưới phân phối và kho hàng trong khu vực.</w:t>
      </w:r>
    </w:p>
    <w:p w:rsidR="00EE7C86" w:rsidRDefault="00EE7C86" w:rsidP="00EE7C86">
      <w:pPr>
        <w:shd w:val="clear" w:color="auto" w:fill="FFFFFF"/>
        <w:spacing w:after="177" w:line="312" w:lineRule="auto"/>
        <w:ind w:firstLine="720"/>
        <w:jc w:val="both"/>
        <w:rPr>
          <w:rStyle w:val="Emphasis"/>
          <w:rFonts w:ascii="Times New Roman" w:hAnsi="Times New Roman" w:cs="Times New Roman"/>
          <w:i w:val="0"/>
          <w:iCs w:val="0"/>
          <w:sz w:val="26"/>
          <w:szCs w:val="26"/>
        </w:rPr>
      </w:pPr>
      <w:r w:rsidRPr="003B7520">
        <w:rPr>
          <w:rStyle w:val="Emphasis"/>
          <w:rFonts w:ascii="Times New Roman" w:hAnsi="Times New Roman" w:cs="Times New Roman"/>
          <w:i w:val="0"/>
          <w:iCs w:val="0"/>
          <w:sz w:val="26"/>
          <w:szCs w:val="26"/>
        </w:rPr>
        <w:t xml:space="preserve">Trung Quốc có hơn 700.000 công ty </w:t>
      </w:r>
      <w:r w:rsidR="002B6619">
        <w:rPr>
          <w:rStyle w:val="Emphasis"/>
          <w:rFonts w:ascii="Times New Roman" w:hAnsi="Times New Roman" w:cs="Times New Roman"/>
          <w:i w:val="0"/>
          <w:iCs w:val="0"/>
          <w:sz w:val="26"/>
          <w:szCs w:val="26"/>
        </w:rPr>
        <w:t>logistics</w:t>
      </w:r>
      <w:r w:rsidRPr="003B7520">
        <w:rPr>
          <w:rStyle w:val="Emphasis"/>
          <w:rFonts w:ascii="Times New Roman" w:hAnsi="Times New Roman" w:cs="Times New Roman"/>
          <w:i w:val="0"/>
          <w:iCs w:val="0"/>
          <w:sz w:val="26"/>
          <w:szCs w:val="26"/>
        </w:rPr>
        <w:t xml:space="preserve"> đã đăng ký, nhưng họ không cung cấp dịch vụ </w:t>
      </w:r>
      <w:r>
        <w:rPr>
          <w:rStyle w:val="Emphasis"/>
          <w:rFonts w:ascii="Times New Roman" w:hAnsi="Times New Roman" w:cs="Times New Roman"/>
          <w:i w:val="0"/>
          <w:iCs w:val="0"/>
          <w:sz w:val="26"/>
          <w:szCs w:val="26"/>
        </w:rPr>
        <w:t xml:space="preserve">trên phạm </w:t>
      </w:r>
      <w:proofErr w:type="gramStart"/>
      <w:r>
        <w:rPr>
          <w:rStyle w:val="Emphasis"/>
          <w:rFonts w:ascii="Times New Roman" w:hAnsi="Times New Roman" w:cs="Times New Roman"/>
          <w:i w:val="0"/>
          <w:iCs w:val="0"/>
          <w:sz w:val="26"/>
          <w:szCs w:val="26"/>
        </w:rPr>
        <w:t>vi</w:t>
      </w:r>
      <w:proofErr w:type="gramEnd"/>
      <w:r>
        <w:rPr>
          <w:rStyle w:val="Emphasis"/>
          <w:rFonts w:ascii="Times New Roman" w:hAnsi="Times New Roman" w:cs="Times New Roman"/>
          <w:i w:val="0"/>
          <w:iCs w:val="0"/>
          <w:sz w:val="26"/>
          <w:szCs w:val="26"/>
        </w:rPr>
        <w:t xml:space="preserve"> cả nước</w:t>
      </w:r>
      <w:r w:rsidRPr="003B7520">
        <w:rPr>
          <w:rStyle w:val="Emphasis"/>
          <w:rFonts w:ascii="Times New Roman" w:hAnsi="Times New Roman" w:cs="Times New Roman"/>
          <w:i w:val="0"/>
          <w:iCs w:val="0"/>
          <w:sz w:val="26"/>
          <w:szCs w:val="26"/>
        </w:rPr>
        <w:t xml:space="preserve"> vì các quy định địa phương hóa. </w:t>
      </w:r>
      <w:r>
        <w:rPr>
          <w:rStyle w:val="Emphasis"/>
          <w:rFonts w:ascii="Times New Roman" w:hAnsi="Times New Roman" w:cs="Times New Roman"/>
          <w:i w:val="0"/>
          <w:iCs w:val="0"/>
          <w:sz w:val="26"/>
          <w:szCs w:val="26"/>
        </w:rPr>
        <w:t xml:space="preserve">Hơn nữa, tầm ảnh hưởng lớn của các công ty logistics quốc tế, những người đã sớm xuất hiện và chiếm thị phần lớn tại các khu vực duyên hải- nơi diễn ra hoạt động thương mại sôi động của Trung Quốc khiến các công ty logistics nội địa với quy mô nhỏ của nước này rất khó cạnh tranh. </w:t>
      </w:r>
      <w:r>
        <w:rPr>
          <w:rStyle w:val="Emphasis"/>
          <w:rFonts w:ascii="Times New Roman" w:hAnsi="Times New Roman" w:cs="Times New Roman"/>
          <w:i w:val="0"/>
          <w:iCs w:val="0"/>
          <w:sz w:val="26"/>
          <w:szCs w:val="26"/>
        </w:rPr>
        <w:t xml:space="preserve">Tuy nhiên, thương mại điện tử, e-logistics đang được kỳ vọng sẽ tạo ra những bứt phá lớn cho các DN quy mô nhỏ hơn, giúp họ tạo ra xu hướng mới và sự linh hoạt trong các phân khúc thị trường thuận lợi. </w:t>
      </w:r>
    </w:p>
    <w:p w:rsidR="00F72CDD" w:rsidRDefault="00F72CDD" w:rsidP="00F72CDD">
      <w:pPr>
        <w:pStyle w:val="ListParagraph"/>
        <w:shd w:val="clear" w:color="auto" w:fill="FFFFFF"/>
        <w:spacing w:after="177" w:line="312" w:lineRule="auto"/>
        <w:jc w:val="both"/>
        <w:rPr>
          <w:rStyle w:val="Emphasis"/>
          <w:rFonts w:ascii="Times New Roman" w:hAnsi="Times New Roman" w:cs="Times New Roman"/>
          <w:i w:val="0"/>
          <w:iCs w:val="0"/>
          <w:sz w:val="26"/>
          <w:szCs w:val="26"/>
        </w:rPr>
      </w:pPr>
    </w:p>
    <w:sectPr w:rsidR="00F72CDD" w:rsidSect="00A4098E">
      <w:footerReference w:type="defaul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70" w:rsidRDefault="008A4170" w:rsidP="00AC37BB">
      <w:pPr>
        <w:spacing w:after="0" w:line="240" w:lineRule="auto"/>
      </w:pPr>
      <w:r>
        <w:separator/>
      </w:r>
    </w:p>
  </w:endnote>
  <w:endnote w:type="continuationSeparator" w:id="0">
    <w:p w:rsidR="008A4170" w:rsidRDefault="008A4170"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F72CDD" w:rsidRDefault="00F72CDD">
        <w:pPr>
          <w:pStyle w:val="Footer"/>
          <w:jc w:val="right"/>
        </w:pPr>
        <w:r>
          <w:fldChar w:fldCharType="begin"/>
        </w:r>
        <w:r>
          <w:instrText xml:space="preserve"> PAGE   \* MERGEFORMAT </w:instrText>
        </w:r>
        <w:r>
          <w:fldChar w:fldCharType="separate"/>
        </w:r>
        <w:r w:rsidR="00817D1B">
          <w:rPr>
            <w:noProof/>
          </w:rPr>
          <w:t>2</w:t>
        </w:r>
        <w:r>
          <w:rPr>
            <w:noProof/>
          </w:rPr>
          <w:fldChar w:fldCharType="end"/>
        </w:r>
      </w:p>
    </w:sdtContent>
  </w:sdt>
  <w:p w:rsidR="00F72CDD" w:rsidRDefault="00F72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70" w:rsidRDefault="008A4170" w:rsidP="00AC37BB">
      <w:pPr>
        <w:spacing w:after="0" w:line="240" w:lineRule="auto"/>
      </w:pPr>
      <w:r>
        <w:separator/>
      </w:r>
    </w:p>
  </w:footnote>
  <w:footnote w:type="continuationSeparator" w:id="0">
    <w:p w:rsidR="008A4170" w:rsidRDefault="008A4170"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A98"/>
    <w:rsid w:val="00014629"/>
    <w:rsid w:val="00015C54"/>
    <w:rsid w:val="00020B86"/>
    <w:rsid w:val="00024A7D"/>
    <w:rsid w:val="00055DF9"/>
    <w:rsid w:val="000718DC"/>
    <w:rsid w:val="0007459B"/>
    <w:rsid w:val="00091FAE"/>
    <w:rsid w:val="000953B0"/>
    <w:rsid w:val="000C3CBD"/>
    <w:rsid w:val="000D641E"/>
    <w:rsid w:val="000E1C76"/>
    <w:rsid w:val="000E2771"/>
    <w:rsid w:val="000F7576"/>
    <w:rsid w:val="001002A5"/>
    <w:rsid w:val="0010282C"/>
    <w:rsid w:val="001033C8"/>
    <w:rsid w:val="00105E9D"/>
    <w:rsid w:val="00111438"/>
    <w:rsid w:val="00133664"/>
    <w:rsid w:val="00151A22"/>
    <w:rsid w:val="00164323"/>
    <w:rsid w:val="0016539D"/>
    <w:rsid w:val="00176F88"/>
    <w:rsid w:val="00180C46"/>
    <w:rsid w:val="0018653A"/>
    <w:rsid w:val="001962A7"/>
    <w:rsid w:val="001B2E26"/>
    <w:rsid w:val="001D2E97"/>
    <w:rsid w:val="001E3F15"/>
    <w:rsid w:val="001E5DBB"/>
    <w:rsid w:val="0020733C"/>
    <w:rsid w:val="002154FC"/>
    <w:rsid w:val="00222862"/>
    <w:rsid w:val="0023164F"/>
    <w:rsid w:val="002338D4"/>
    <w:rsid w:val="00243473"/>
    <w:rsid w:val="00244CD4"/>
    <w:rsid w:val="0025748E"/>
    <w:rsid w:val="00261835"/>
    <w:rsid w:val="002665E5"/>
    <w:rsid w:val="00285499"/>
    <w:rsid w:val="00291326"/>
    <w:rsid w:val="002B6619"/>
    <w:rsid w:val="002D1534"/>
    <w:rsid w:val="002F0A2C"/>
    <w:rsid w:val="002F6CC9"/>
    <w:rsid w:val="003066E5"/>
    <w:rsid w:val="00314E63"/>
    <w:rsid w:val="003334FF"/>
    <w:rsid w:val="0035362C"/>
    <w:rsid w:val="0035634D"/>
    <w:rsid w:val="0036466C"/>
    <w:rsid w:val="00372317"/>
    <w:rsid w:val="0037482B"/>
    <w:rsid w:val="00376FF5"/>
    <w:rsid w:val="00392A7A"/>
    <w:rsid w:val="003B39B3"/>
    <w:rsid w:val="003B7520"/>
    <w:rsid w:val="003C158E"/>
    <w:rsid w:val="003C73B3"/>
    <w:rsid w:val="003D47B6"/>
    <w:rsid w:val="003F3787"/>
    <w:rsid w:val="0042206C"/>
    <w:rsid w:val="00427128"/>
    <w:rsid w:val="00481C11"/>
    <w:rsid w:val="00486D73"/>
    <w:rsid w:val="00491362"/>
    <w:rsid w:val="004A17EC"/>
    <w:rsid w:val="004A33DD"/>
    <w:rsid w:val="004C4499"/>
    <w:rsid w:val="004F3BC7"/>
    <w:rsid w:val="004F3E14"/>
    <w:rsid w:val="004F60C6"/>
    <w:rsid w:val="00503557"/>
    <w:rsid w:val="0050379F"/>
    <w:rsid w:val="005126F4"/>
    <w:rsid w:val="00515D9C"/>
    <w:rsid w:val="005211BD"/>
    <w:rsid w:val="00533774"/>
    <w:rsid w:val="0054494F"/>
    <w:rsid w:val="00554A39"/>
    <w:rsid w:val="00563868"/>
    <w:rsid w:val="005777A7"/>
    <w:rsid w:val="00583E0B"/>
    <w:rsid w:val="00596F7F"/>
    <w:rsid w:val="005A32AF"/>
    <w:rsid w:val="005A37D7"/>
    <w:rsid w:val="005C03DA"/>
    <w:rsid w:val="005E3474"/>
    <w:rsid w:val="005F11B9"/>
    <w:rsid w:val="005F6C14"/>
    <w:rsid w:val="00606F25"/>
    <w:rsid w:val="00630374"/>
    <w:rsid w:val="00632796"/>
    <w:rsid w:val="0064258B"/>
    <w:rsid w:val="006579EB"/>
    <w:rsid w:val="0066750D"/>
    <w:rsid w:val="00674070"/>
    <w:rsid w:val="006C7647"/>
    <w:rsid w:val="006D029B"/>
    <w:rsid w:val="006F3377"/>
    <w:rsid w:val="006F7254"/>
    <w:rsid w:val="0076011B"/>
    <w:rsid w:val="00772D3A"/>
    <w:rsid w:val="007757F7"/>
    <w:rsid w:val="007771F0"/>
    <w:rsid w:val="00783D15"/>
    <w:rsid w:val="007A4B79"/>
    <w:rsid w:val="007A711C"/>
    <w:rsid w:val="007C440C"/>
    <w:rsid w:val="007C66DE"/>
    <w:rsid w:val="007F37BD"/>
    <w:rsid w:val="008123B3"/>
    <w:rsid w:val="00817266"/>
    <w:rsid w:val="00817D1B"/>
    <w:rsid w:val="00817F73"/>
    <w:rsid w:val="008302C8"/>
    <w:rsid w:val="00855FE5"/>
    <w:rsid w:val="0085727E"/>
    <w:rsid w:val="008713FB"/>
    <w:rsid w:val="008735CF"/>
    <w:rsid w:val="008774C9"/>
    <w:rsid w:val="008864E4"/>
    <w:rsid w:val="00891990"/>
    <w:rsid w:val="008A22FD"/>
    <w:rsid w:val="008A4170"/>
    <w:rsid w:val="008A5CDB"/>
    <w:rsid w:val="008A6247"/>
    <w:rsid w:val="008C5C2B"/>
    <w:rsid w:val="008E374E"/>
    <w:rsid w:val="00940E83"/>
    <w:rsid w:val="00961E55"/>
    <w:rsid w:val="009655C5"/>
    <w:rsid w:val="0096701D"/>
    <w:rsid w:val="00981BDB"/>
    <w:rsid w:val="009B379A"/>
    <w:rsid w:val="009C14D4"/>
    <w:rsid w:val="009D09B6"/>
    <w:rsid w:val="009D25F9"/>
    <w:rsid w:val="00A022B1"/>
    <w:rsid w:val="00A027FF"/>
    <w:rsid w:val="00A11215"/>
    <w:rsid w:val="00A12DDC"/>
    <w:rsid w:val="00A25A23"/>
    <w:rsid w:val="00A34A95"/>
    <w:rsid w:val="00A4098E"/>
    <w:rsid w:val="00A52B66"/>
    <w:rsid w:val="00A76837"/>
    <w:rsid w:val="00A81298"/>
    <w:rsid w:val="00A90838"/>
    <w:rsid w:val="00A938F3"/>
    <w:rsid w:val="00A95405"/>
    <w:rsid w:val="00AA5285"/>
    <w:rsid w:val="00AB3555"/>
    <w:rsid w:val="00AC37BB"/>
    <w:rsid w:val="00AE46FA"/>
    <w:rsid w:val="00AF56B2"/>
    <w:rsid w:val="00B15A0D"/>
    <w:rsid w:val="00B21A4A"/>
    <w:rsid w:val="00B372A5"/>
    <w:rsid w:val="00B70613"/>
    <w:rsid w:val="00B752B6"/>
    <w:rsid w:val="00B82426"/>
    <w:rsid w:val="00B82CFF"/>
    <w:rsid w:val="00B8523A"/>
    <w:rsid w:val="00BA1F3D"/>
    <w:rsid w:val="00BA3AC4"/>
    <w:rsid w:val="00BB64CB"/>
    <w:rsid w:val="00BD622A"/>
    <w:rsid w:val="00C22D62"/>
    <w:rsid w:val="00C23683"/>
    <w:rsid w:val="00C23817"/>
    <w:rsid w:val="00C27A84"/>
    <w:rsid w:val="00C34E11"/>
    <w:rsid w:val="00C45DE0"/>
    <w:rsid w:val="00C6356A"/>
    <w:rsid w:val="00C65386"/>
    <w:rsid w:val="00C7600E"/>
    <w:rsid w:val="00C7687D"/>
    <w:rsid w:val="00C86A0E"/>
    <w:rsid w:val="00CA6A2E"/>
    <w:rsid w:val="00CE0298"/>
    <w:rsid w:val="00CE3CC8"/>
    <w:rsid w:val="00CE5DF4"/>
    <w:rsid w:val="00D10889"/>
    <w:rsid w:val="00D16451"/>
    <w:rsid w:val="00D2114E"/>
    <w:rsid w:val="00D27E0A"/>
    <w:rsid w:val="00D3276A"/>
    <w:rsid w:val="00D344EE"/>
    <w:rsid w:val="00D54585"/>
    <w:rsid w:val="00D63135"/>
    <w:rsid w:val="00D82AF6"/>
    <w:rsid w:val="00D9555D"/>
    <w:rsid w:val="00DA01C4"/>
    <w:rsid w:val="00DC1D28"/>
    <w:rsid w:val="00DC53B8"/>
    <w:rsid w:val="00DD1613"/>
    <w:rsid w:val="00DE1410"/>
    <w:rsid w:val="00E13CEC"/>
    <w:rsid w:val="00E14265"/>
    <w:rsid w:val="00E331D7"/>
    <w:rsid w:val="00E41A97"/>
    <w:rsid w:val="00E464B8"/>
    <w:rsid w:val="00E64606"/>
    <w:rsid w:val="00E944D1"/>
    <w:rsid w:val="00E977AC"/>
    <w:rsid w:val="00EA7AD7"/>
    <w:rsid w:val="00EB066A"/>
    <w:rsid w:val="00ED3871"/>
    <w:rsid w:val="00EE4696"/>
    <w:rsid w:val="00EE7C86"/>
    <w:rsid w:val="00F0365A"/>
    <w:rsid w:val="00F13048"/>
    <w:rsid w:val="00F14C13"/>
    <w:rsid w:val="00F17BAE"/>
    <w:rsid w:val="00F23C10"/>
    <w:rsid w:val="00F422A3"/>
    <w:rsid w:val="00F42FAC"/>
    <w:rsid w:val="00F526CE"/>
    <w:rsid w:val="00F72CDD"/>
    <w:rsid w:val="00FB6291"/>
    <w:rsid w:val="00FC0911"/>
    <w:rsid w:val="00FC4784"/>
    <w:rsid w:val="00FD34B0"/>
    <w:rsid w:val="00FE5014"/>
    <w:rsid w:val="00FE6D7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598053782">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Tổng lượng hàng hóa vận chuyển của TQ trong tháng (đvt: 10.000 tấn)</a:t>
            </a:r>
          </a:p>
        </c:rich>
      </c:tx>
      <c:overlay val="0"/>
    </c:title>
    <c:autoTitleDeleted val="0"/>
    <c:plotArea>
      <c:layout/>
      <c:lineChart>
        <c:grouping val="standard"/>
        <c:varyColors val="0"/>
        <c:ser>
          <c:idx val="0"/>
          <c:order val="0"/>
          <c:cat>
            <c:strRef>
              <c:f>Sheet3!$B$2:$V$2</c:f>
              <c:strCache>
                <c:ptCount val="21"/>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strCache>
            </c:strRef>
          </c:cat>
          <c:val>
            <c:numRef>
              <c:f>Sheet3!$B$3:$V$3</c:f>
              <c:numCache>
                <c:formatCode>#,##0</c:formatCode>
                <c:ptCount val="21"/>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numCache>
            </c:numRef>
          </c:val>
          <c:smooth val="0"/>
        </c:ser>
        <c:dLbls>
          <c:showLegendKey val="0"/>
          <c:showVal val="0"/>
          <c:showCatName val="0"/>
          <c:showSerName val="0"/>
          <c:showPercent val="0"/>
          <c:showBubbleSize val="0"/>
        </c:dLbls>
        <c:marker val="1"/>
        <c:smooth val="0"/>
        <c:axId val="287500288"/>
        <c:axId val="309685632"/>
      </c:lineChart>
      <c:catAx>
        <c:axId val="287500288"/>
        <c:scaling>
          <c:orientation val="minMax"/>
        </c:scaling>
        <c:delete val="0"/>
        <c:axPos val="b"/>
        <c:majorTickMark val="out"/>
        <c:minorTickMark val="none"/>
        <c:tickLblPos val="nextTo"/>
        <c:crossAx val="309685632"/>
        <c:crosses val="autoZero"/>
        <c:auto val="1"/>
        <c:lblAlgn val="ctr"/>
        <c:lblOffset val="100"/>
        <c:noMultiLvlLbl val="0"/>
      </c:catAx>
      <c:valAx>
        <c:axId val="309685632"/>
        <c:scaling>
          <c:orientation val="minMax"/>
        </c:scaling>
        <c:delete val="0"/>
        <c:axPos val="l"/>
        <c:majorGridlines/>
        <c:numFmt formatCode="#,##0" sourceLinked="1"/>
        <c:majorTickMark val="out"/>
        <c:minorTickMark val="none"/>
        <c:tickLblPos val="nextTo"/>
        <c:crossAx val="28750028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latin typeface="Times New Roman" pitchFamily="18" charset="0"/>
                <a:cs typeface="Times New Roman" pitchFamily="18" charset="0"/>
              </a:rPr>
              <a:t>Cơ</a:t>
            </a:r>
            <a:r>
              <a:rPr lang="en-US" sz="1300" baseline="0">
                <a:latin typeface="Times New Roman" pitchFamily="18" charset="0"/>
                <a:cs typeface="Times New Roman" pitchFamily="18" charset="0"/>
              </a:rPr>
              <a:t> cấu vận chuyển hàng hóa của Trung Quốc </a:t>
            </a:r>
          </a:p>
          <a:p>
            <a:pPr>
              <a:defRPr/>
            </a:pPr>
            <a:r>
              <a:rPr lang="en-US" sz="1300" baseline="0">
                <a:latin typeface="Times New Roman" pitchFamily="18" charset="0"/>
                <a:cs typeface="Times New Roman" pitchFamily="18" charset="0"/>
              </a:rPr>
              <a:t>11 tháng đầu năm 2018</a:t>
            </a:r>
            <a:endParaRPr lang="en-US" sz="13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270876172325594E-2"/>
          <c:y val="0.34224584259663526"/>
          <c:w val="0.81281829580219667"/>
          <c:h val="0.57681389252729642"/>
        </c:manualLayout>
      </c:layout>
      <c:pie3DChart>
        <c:varyColors val="1"/>
        <c:ser>
          <c:idx val="0"/>
          <c:order val="0"/>
          <c:dLbls>
            <c:dLbl>
              <c:idx val="0"/>
              <c:layout>
                <c:manualLayout>
                  <c:x val="0.10325719781210564"/>
                  <c:y val="3.2716740842177301E-2"/>
                </c:manualLayout>
              </c:layout>
              <c:showLegendKey val="0"/>
              <c:showVal val="0"/>
              <c:showCatName val="1"/>
              <c:showSerName val="0"/>
              <c:showPercent val="1"/>
              <c:showBubbleSize val="0"/>
            </c:dLbl>
            <c:dLbl>
              <c:idx val="1"/>
              <c:layout>
                <c:manualLayout>
                  <c:x val="-4.645048185770672E-2"/>
                  <c:y val="-0.24660869565217391"/>
                </c:manualLayout>
              </c:layout>
              <c:showLegendKey val="0"/>
              <c:showVal val="0"/>
              <c:showCatName val="1"/>
              <c:showSerName val="0"/>
              <c:showPercent val="1"/>
              <c:showBubbleSize val="0"/>
            </c:dLbl>
            <c:dLbl>
              <c:idx val="2"/>
              <c:layout>
                <c:manualLayout>
                  <c:x val="-1.9130051491655156E-3"/>
                  <c:y val="5.4060938034919586E-3"/>
                </c:manualLayout>
              </c:layout>
              <c:showLegendKey val="0"/>
              <c:showVal val="0"/>
              <c:showCatName val="1"/>
              <c:showSerName val="0"/>
              <c:showPercent val="1"/>
              <c:showBubbleSize val="0"/>
            </c:dLbl>
            <c:dLbl>
              <c:idx val="3"/>
              <c:layout>
                <c:manualLayout>
                  <c:x val="2.4295713035870524E-3"/>
                  <c:y val="3.608955837042109E-2"/>
                </c:manualLayout>
              </c:layout>
              <c:showLegendKey val="0"/>
              <c:showVal val="0"/>
              <c:showCatName val="1"/>
              <c:showSerName val="0"/>
              <c:showPercent val="1"/>
              <c:showBubbleSize val="0"/>
            </c:dLbl>
            <c:numFmt formatCode="0.00%" sourceLinked="0"/>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dLbls>
          <c:cat>
            <c:strRef>
              <c:f>'China- tinh toan'!$A$12:$A$15</c:f>
              <c:strCache>
                <c:ptCount val="4"/>
                <c:pt idx="0">
                  <c:v>Đường sắt</c:v>
                </c:pt>
                <c:pt idx="1">
                  <c:v>Đường bộ</c:v>
                </c:pt>
                <c:pt idx="2">
                  <c:v>Đường thủy</c:v>
                </c:pt>
                <c:pt idx="3">
                  <c:v>Hàng không dân dụng</c:v>
                </c:pt>
              </c:strCache>
            </c:strRef>
          </c:cat>
          <c:val>
            <c:numRef>
              <c:f>'China- tinh toan'!$B$12:$B$15</c:f>
              <c:numCache>
                <c:formatCode>#,##0.00</c:formatCode>
                <c:ptCount val="4"/>
                <c:pt idx="0" formatCode="#,##0">
                  <c:v>367925</c:v>
                </c:pt>
                <c:pt idx="1">
                  <c:v>3599191</c:v>
                </c:pt>
                <c:pt idx="2">
                  <c:v>640949</c:v>
                </c:pt>
                <c:pt idx="3">
                  <c:v>671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9.902777777777777E-2"/>
          <c:y val="5.0925925925925923E-2"/>
        </c:manualLayout>
      </c:layout>
      <c:overlay val="0"/>
    </c:title>
    <c:autoTitleDeleted val="0"/>
    <c:plotArea>
      <c:layout/>
      <c:lineChart>
        <c:grouping val="standard"/>
        <c:varyColors val="0"/>
        <c:ser>
          <c:idx val="0"/>
          <c:order val="0"/>
          <c:cat>
            <c:strRef>
              <c:f>Sheet3!$B$2:$V$2</c:f>
              <c:strCache>
                <c:ptCount val="21"/>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strCache>
            </c:strRef>
          </c:cat>
          <c:val>
            <c:numRef>
              <c:f>Sheet3!$B$5:$V$5</c:f>
              <c:numCache>
                <c:formatCode>#,##0</c:formatCode>
                <c:ptCount val="21"/>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numCache>
            </c:numRef>
          </c:val>
          <c:smooth val="0"/>
        </c:ser>
        <c:dLbls>
          <c:showLegendKey val="0"/>
          <c:showVal val="0"/>
          <c:showCatName val="0"/>
          <c:showSerName val="0"/>
          <c:showPercent val="0"/>
          <c:showBubbleSize val="0"/>
        </c:dLbls>
        <c:marker val="1"/>
        <c:smooth val="0"/>
        <c:axId val="287576576"/>
        <c:axId val="309688512"/>
      </c:lineChart>
      <c:catAx>
        <c:axId val="287576576"/>
        <c:scaling>
          <c:orientation val="minMax"/>
        </c:scaling>
        <c:delete val="0"/>
        <c:axPos val="b"/>
        <c:majorTickMark val="out"/>
        <c:minorTickMark val="none"/>
        <c:tickLblPos val="nextTo"/>
        <c:crossAx val="309688512"/>
        <c:crosses val="autoZero"/>
        <c:auto val="1"/>
        <c:lblAlgn val="ctr"/>
        <c:lblOffset val="100"/>
        <c:noMultiLvlLbl val="0"/>
      </c:catAx>
      <c:valAx>
        <c:axId val="309688512"/>
        <c:scaling>
          <c:orientation val="minMax"/>
        </c:scaling>
        <c:delete val="0"/>
        <c:axPos val="l"/>
        <c:majorGridlines/>
        <c:numFmt formatCode="#,##0" sourceLinked="1"/>
        <c:majorTickMark val="out"/>
        <c:minorTickMark val="none"/>
        <c:tickLblPos val="nextTo"/>
        <c:crossAx val="2875765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Sheet3!$B$2:$W$2</c:f>
              <c:strCache>
                <c:ptCount val="2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strCache>
            </c:strRef>
          </c:cat>
          <c:val>
            <c:numRef>
              <c:f>Sheet3!$B$7:$V$7</c:f>
              <c:numCache>
                <c:formatCode>#,##0</c:formatCode>
                <c:ptCount val="21"/>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numCache>
            </c:numRef>
          </c:val>
          <c:smooth val="0"/>
        </c:ser>
        <c:dLbls>
          <c:showLegendKey val="0"/>
          <c:showVal val="0"/>
          <c:showCatName val="0"/>
          <c:showSerName val="0"/>
          <c:showPercent val="0"/>
          <c:showBubbleSize val="0"/>
        </c:dLbls>
        <c:marker val="1"/>
        <c:smooth val="0"/>
        <c:axId val="287578112"/>
        <c:axId val="309698560"/>
      </c:lineChart>
      <c:catAx>
        <c:axId val="287578112"/>
        <c:scaling>
          <c:orientation val="minMax"/>
        </c:scaling>
        <c:delete val="0"/>
        <c:axPos val="b"/>
        <c:majorTickMark val="out"/>
        <c:minorTickMark val="none"/>
        <c:tickLblPos val="nextTo"/>
        <c:crossAx val="309698560"/>
        <c:crosses val="autoZero"/>
        <c:auto val="1"/>
        <c:lblAlgn val="ctr"/>
        <c:lblOffset val="100"/>
        <c:noMultiLvlLbl val="0"/>
      </c:catAx>
      <c:valAx>
        <c:axId val="309698560"/>
        <c:scaling>
          <c:orientation val="minMax"/>
        </c:scaling>
        <c:delete val="0"/>
        <c:axPos val="l"/>
        <c:majorGridlines/>
        <c:numFmt formatCode="#,##0" sourceLinked="1"/>
        <c:majorTickMark val="out"/>
        <c:minorTickMark val="none"/>
        <c:tickLblPos val="nextTo"/>
        <c:crossAx val="28757811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Sheet3!$B$2:$V$2</c:f>
              <c:strCache>
                <c:ptCount val="21"/>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strCache>
            </c:strRef>
          </c:cat>
          <c:val>
            <c:numRef>
              <c:f>Sheet3!$B$9:$V$9</c:f>
              <c:numCache>
                <c:formatCode>#,##0</c:formatCode>
                <c:ptCount val="21"/>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numCache>
            </c:numRef>
          </c:val>
          <c:smooth val="0"/>
        </c:ser>
        <c:dLbls>
          <c:showLegendKey val="0"/>
          <c:showVal val="0"/>
          <c:showCatName val="0"/>
          <c:showSerName val="0"/>
          <c:showPercent val="0"/>
          <c:showBubbleSize val="0"/>
        </c:dLbls>
        <c:marker val="1"/>
        <c:smooth val="0"/>
        <c:axId val="300358144"/>
        <c:axId val="309700288"/>
      </c:lineChart>
      <c:catAx>
        <c:axId val="300358144"/>
        <c:scaling>
          <c:orientation val="minMax"/>
        </c:scaling>
        <c:delete val="0"/>
        <c:axPos val="b"/>
        <c:majorTickMark val="out"/>
        <c:minorTickMark val="none"/>
        <c:tickLblPos val="nextTo"/>
        <c:crossAx val="309700288"/>
        <c:crosses val="autoZero"/>
        <c:auto val="1"/>
        <c:lblAlgn val="ctr"/>
        <c:lblOffset val="100"/>
        <c:noMultiLvlLbl val="0"/>
      </c:catAx>
      <c:valAx>
        <c:axId val="309700288"/>
        <c:scaling>
          <c:orientation val="minMax"/>
        </c:scaling>
        <c:delete val="0"/>
        <c:axPos val="l"/>
        <c:majorGridlines/>
        <c:numFmt formatCode="#,##0" sourceLinked="1"/>
        <c:majorTickMark val="out"/>
        <c:minorTickMark val="none"/>
        <c:tickLblPos val="nextTo"/>
        <c:crossAx val="3003581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bằng đường hàng không dân dụng của Trung Quốc (đvt:10.000 tấn)</a:t>
            </a:r>
          </a:p>
        </c:rich>
      </c:tx>
      <c:layout>
        <c:manualLayout>
          <c:xMode val="edge"/>
          <c:yMode val="edge"/>
          <c:x val="0.10714186679358906"/>
          <c:y val="3.2407407407407406E-2"/>
        </c:manualLayout>
      </c:layout>
      <c:overlay val="0"/>
    </c:title>
    <c:autoTitleDeleted val="0"/>
    <c:plotArea>
      <c:layout/>
      <c:lineChart>
        <c:grouping val="standard"/>
        <c:varyColors val="0"/>
        <c:ser>
          <c:idx val="0"/>
          <c:order val="0"/>
          <c:cat>
            <c:strRef>
              <c:f>Sheet3!$B$2:$V$2</c:f>
              <c:strCache>
                <c:ptCount val="21"/>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strCache>
            </c:strRef>
          </c:cat>
          <c:val>
            <c:numRef>
              <c:f>Sheet3!$B$11:$V$11</c:f>
              <c:numCache>
                <c:formatCode>General</c:formatCode>
                <c:ptCount val="21"/>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numCache>
            </c:numRef>
          </c:val>
          <c:smooth val="0"/>
        </c:ser>
        <c:dLbls>
          <c:showLegendKey val="0"/>
          <c:showVal val="0"/>
          <c:showCatName val="0"/>
          <c:showSerName val="0"/>
          <c:showPercent val="0"/>
          <c:showBubbleSize val="0"/>
        </c:dLbls>
        <c:marker val="1"/>
        <c:smooth val="0"/>
        <c:axId val="293623808"/>
        <c:axId val="309702016"/>
      </c:lineChart>
      <c:catAx>
        <c:axId val="293623808"/>
        <c:scaling>
          <c:orientation val="minMax"/>
        </c:scaling>
        <c:delete val="0"/>
        <c:axPos val="b"/>
        <c:majorTickMark val="out"/>
        <c:minorTickMark val="none"/>
        <c:tickLblPos val="nextTo"/>
        <c:crossAx val="309702016"/>
        <c:crosses val="autoZero"/>
        <c:auto val="1"/>
        <c:lblAlgn val="ctr"/>
        <c:lblOffset val="100"/>
        <c:noMultiLvlLbl val="0"/>
      </c:catAx>
      <c:valAx>
        <c:axId val="309702016"/>
        <c:scaling>
          <c:orientation val="minMax"/>
        </c:scaling>
        <c:delete val="0"/>
        <c:axPos val="l"/>
        <c:majorGridlines/>
        <c:numFmt formatCode="General" sourceLinked="1"/>
        <c:majorTickMark val="out"/>
        <c:minorTickMark val="none"/>
        <c:tickLblPos val="nextTo"/>
        <c:crossAx val="2936238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baseline="0">
                <a:effectLst/>
                <a:latin typeface="Times New Roman" pitchFamily="18" charset="0"/>
                <a:cs typeface="Times New Roman" pitchFamily="18" charset="0"/>
              </a:rPr>
              <a:t>Lượng hàng hóa qua các cảng chính của Trung Quốc (đvt: 10.000 tấn</a:t>
            </a:r>
            <a:endParaRPr lang="en-US" sz="1200">
              <a:effectLst/>
              <a:latin typeface="Times New Roman" pitchFamily="18" charset="0"/>
              <a:cs typeface="Times New Roman" pitchFamily="18" charset="0"/>
            </a:endParaRPr>
          </a:p>
        </c:rich>
      </c:tx>
      <c:layout>
        <c:manualLayout>
          <c:xMode val="edge"/>
          <c:yMode val="edge"/>
          <c:x val="0.12102777777777778"/>
          <c:y val="2.4218335773354964E-2"/>
        </c:manualLayout>
      </c:layout>
      <c:overlay val="0"/>
    </c:title>
    <c:autoTitleDeleted val="0"/>
    <c:plotArea>
      <c:layout/>
      <c:lineChart>
        <c:grouping val="standard"/>
        <c:varyColors val="0"/>
        <c:ser>
          <c:idx val="0"/>
          <c:order val="0"/>
          <c:cat>
            <c:strRef>
              <c:f>Sheet3!$B$2:$V$2</c:f>
              <c:strCache>
                <c:ptCount val="21"/>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strCache>
            </c:strRef>
          </c:cat>
          <c:val>
            <c:numRef>
              <c:f>Sheet3!$B$13:$V$13</c:f>
              <c:numCache>
                <c:formatCode>General</c:formatCode>
                <c:ptCount val="21"/>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pt idx="15" formatCode="#,##0">
                  <c:v>78776</c:v>
                </c:pt>
                <c:pt idx="16" formatCode="#,##0">
                  <c:v>77697</c:v>
                </c:pt>
                <c:pt idx="17" formatCode="#,##0">
                  <c:v>77770</c:v>
                </c:pt>
                <c:pt idx="18" formatCode="#,##0">
                  <c:v>77031</c:v>
                </c:pt>
                <c:pt idx="19" formatCode="#,##0">
                  <c:v>76671</c:v>
                </c:pt>
                <c:pt idx="20" formatCode="#,##0">
                  <c:v>75482</c:v>
                </c:pt>
              </c:numCache>
            </c:numRef>
          </c:val>
          <c:smooth val="0"/>
        </c:ser>
        <c:dLbls>
          <c:showLegendKey val="0"/>
          <c:showVal val="0"/>
          <c:showCatName val="0"/>
          <c:showSerName val="0"/>
          <c:showPercent val="0"/>
          <c:showBubbleSize val="0"/>
        </c:dLbls>
        <c:marker val="1"/>
        <c:smooth val="0"/>
        <c:axId val="293624320"/>
        <c:axId val="309703744"/>
      </c:lineChart>
      <c:catAx>
        <c:axId val="293624320"/>
        <c:scaling>
          <c:orientation val="minMax"/>
        </c:scaling>
        <c:delete val="0"/>
        <c:axPos val="b"/>
        <c:majorTickMark val="out"/>
        <c:minorTickMark val="none"/>
        <c:tickLblPos val="nextTo"/>
        <c:crossAx val="309703744"/>
        <c:crosses val="autoZero"/>
        <c:auto val="1"/>
        <c:lblAlgn val="ctr"/>
        <c:lblOffset val="100"/>
        <c:noMultiLvlLbl val="0"/>
      </c:catAx>
      <c:valAx>
        <c:axId val="309703744"/>
        <c:scaling>
          <c:orientation val="minMax"/>
        </c:scaling>
        <c:delete val="0"/>
        <c:axPos val="l"/>
        <c:majorGridlines/>
        <c:numFmt formatCode="General" sourceLinked="1"/>
        <c:majorTickMark val="out"/>
        <c:minorTickMark val="none"/>
        <c:tickLblPos val="nextTo"/>
        <c:crossAx val="2936243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2C71-1FB1-4CE1-A7D3-280B6D75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5978</TotalTime>
  <Pages>20</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63</cp:revision>
  <dcterms:created xsi:type="dcterms:W3CDTF">2018-04-26T04:07:00Z</dcterms:created>
  <dcterms:modified xsi:type="dcterms:W3CDTF">2019-01-19T10:15:00Z</dcterms:modified>
</cp:coreProperties>
</file>